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5F5F" w14:textId="77777777" w:rsidR="007B74BD" w:rsidRDefault="007B74BD" w:rsidP="007B74BD">
      <w:pPr>
        <w:ind w:firstLine="720"/>
        <w:jc w:val="right"/>
        <w:rPr>
          <w:sz w:val="24"/>
          <w:szCs w:val="24"/>
        </w:rPr>
      </w:pPr>
      <w:r w:rsidRPr="0037603B">
        <w:rPr>
          <w:sz w:val="24"/>
          <w:szCs w:val="24"/>
        </w:rPr>
        <w:t>1.pielikums</w:t>
      </w:r>
    </w:p>
    <w:p w14:paraId="50DC82DF" w14:textId="77777777"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14:paraId="36958A2A" w14:textId="77777777"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14:paraId="21E24F57" w14:textId="77777777"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14:paraId="020A8D88" w14:textId="77777777"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</w:t>
      </w:r>
      <w:r w:rsidR="003C62E1">
        <w:rPr>
          <w:b/>
          <w:sz w:val="24"/>
          <w:szCs w:val="24"/>
        </w:rPr>
        <w:t>2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4BD" w:rsidRPr="00574774" w14:paraId="3834151E" w14:textId="77777777" w:rsidTr="00A2684F">
        <w:tc>
          <w:tcPr>
            <w:tcW w:w="6062" w:type="dxa"/>
            <w:shd w:val="clear" w:color="auto" w:fill="auto"/>
          </w:tcPr>
          <w:p w14:paraId="69E45479" w14:textId="77777777"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14:paraId="336F5B28" w14:textId="77777777"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14:paraId="5208D72F" w14:textId="77777777" w:rsidR="007B74BD" w:rsidRPr="00574774" w:rsidRDefault="007B74BD" w:rsidP="00E549CE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E549CE">
              <w:rPr>
                <w:sz w:val="24"/>
                <w:szCs w:val="24"/>
                <w:shd w:val="clear" w:color="auto" w:fill="FFFFFF"/>
              </w:rPr>
              <w:t>5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E549CE">
              <w:rPr>
                <w:sz w:val="24"/>
                <w:szCs w:val="24"/>
                <w:shd w:val="clear" w:color="auto" w:fill="FFFFFF"/>
              </w:rPr>
              <w:t>25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proofErr w:type="spellStart"/>
            <w:r w:rsidRPr="00574774">
              <w:rPr>
                <w:i/>
                <w:sz w:val="24"/>
                <w:szCs w:val="24"/>
              </w:rPr>
              <w:t>euro</w:t>
            </w:r>
            <w:proofErr w:type="spellEnd"/>
            <w:r w:rsidRPr="0057477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B74BD" w:rsidRPr="00574774" w14:paraId="1A5AB48E" w14:textId="77777777" w:rsidTr="00A2684F">
        <w:tc>
          <w:tcPr>
            <w:tcW w:w="6062" w:type="dxa"/>
            <w:shd w:val="clear" w:color="auto" w:fill="auto"/>
          </w:tcPr>
          <w:p w14:paraId="411B0115" w14:textId="77777777"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14:paraId="44054CA8" w14:textId="77777777" w:rsidR="007B74BD" w:rsidRPr="00574774" w:rsidRDefault="00D22352" w:rsidP="00E549CE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E549CE">
              <w:rPr>
                <w:i/>
                <w:iCs/>
                <w:sz w:val="24"/>
                <w:szCs w:val="24"/>
              </w:rPr>
              <w:t>9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E549CE">
              <w:rPr>
                <w:i/>
                <w:iCs/>
                <w:sz w:val="24"/>
                <w:szCs w:val="24"/>
              </w:rPr>
              <w:t>39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655791CE" w14:textId="77777777" w:rsidTr="00A2684F">
        <w:tc>
          <w:tcPr>
            <w:tcW w:w="6062" w:type="dxa"/>
            <w:shd w:val="clear" w:color="auto" w:fill="auto"/>
          </w:tcPr>
          <w:p w14:paraId="24CD782A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14:paraId="7987AF28" w14:textId="77777777" w:rsidR="007B74BD" w:rsidRPr="00574774" w:rsidRDefault="00D22352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1C7DFD">
              <w:rPr>
                <w:i/>
                <w:iCs/>
                <w:sz w:val="24"/>
                <w:szCs w:val="24"/>
              </w:rPr>
              <w:t>2,</w:t>
            </w:r>
            <w:r w:rsidR="00E549CE">
              <w:rPr>
                <w:i/>
                <w:iCs/>
                <w:sz w:val="24"/>
                <w:szCs w:val="24"/>
              </w:rPr>
              <w:t>98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574774" w14:paraId="2BFE44A0" w14:textId="77777777" w:rsidTr="00A2684F">
        <w:tc>
          <w:tcPr>
            <w:tcW w:w="6062" w:type="dxa"/>
            <w:shd w:val="clear" w:color="auto" w:fill="auto"/>
          </w:tcPr>
          <w:p w14:paraId="6B818AD6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14:paraId="63B82F5F" w14:textId="77777777" w:rsidR="007B74BD" w:rsidRPr="00574774" w:rsidRDefault="00E549CE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>94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iCs/>
                <w:sz w:val="24"/>
                <w:szCs w:val="24"/>
              </w:rPr>
              <w:t>euro</w:t>
            </w:r>
            <w:proofErr w:type="spellEnd"/>
            <w:r w:rsidR="007B74BD" w:rsidRPr="0057477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B74BD" w:rsidRPr="0037603B" w14:paraId="4022642A" w14:textId="77777777" w:rsidTr="00A2684F">
        <w:tc>
          <w:tcPr>
            <w:tcW w:w="6062" w:type="dxa"/>
            <w:shd w:val="clear" w:color="auto" w:fill="auto"/>
          </w:tcPr>
          <w:p w14:paraId="549B844B" w14:textId="77777777"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14:paraId="6D2F06BD" w14:textId="77777777" w:rsidR="007B74BD" w:rsidRPr="0037603B" w:rsidRDefault="001C7DFD" w:rsidP="00E549CE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 w:rsidR="00E549CE">
              <w:rPr>
                <w:i/>
                <w:sz w:val="24"/>
                <w:szCs w:val="24"/>
              </w:rPr>
              <w:t>94</w:t>
            </w:r>
            <w:r w:rsidR="007B74BD" w:rsidRPr="00574774">
              <w:rPr>
                <w:i/>
                <w:sz w:val="24"/>
                <w:szCs w:val="24"/>
              </w:rPr>
              <w:t xml:space="preserve"> milj. </w:t>
            </w:r>
            <w:proofErr w:type="spellStart"/>
            <w:r w:rsidR="007B74BD" w:rsidRPr="00574774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37603B" w14:paraId="2E816A43" w14:textId="77777777" w:rsidTr="00A2684F">
        <w:tc>
          <w:tcPr>
            <w:tcW w:w="6062" w:type="dxa"/>
            <w:shd w:val="clear" w:color="auto" w:fill="auto"/>
          </w:tcPr>
          <w:p w14:paraId="0269817E" w14:textId="77777777"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997745" w14:textId="77777777"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8E735B" w:rsidRPr="008E735B" w14:paraId="211BAF1B" w14:textId="77777777" w:rsidTr="00A2684F">
        <w:tc>
          <w:tcPr>
            <w:tcW w:w="6062" w:type="dxa"/>
            <w:shd w:val="clear" w:color="auto" w:fill="auto"/>
          </w:tcPr>
          <w:p w14:paraId="35D64ECD" w14:textId="77777777" w:rsidR="008E735B" w:rsidRPr="008E735B" w:rsidRDefault="008E735B" w:rsidP="008E735B">
            <w:pPr>
              <w:rPr>
                <w:i/>
                <w:sz w:val="24"/>
                <w:szCs w:val="24"/>
              </w:rPr>
            </w:pPr>
            <w:r w:rsidRPr="008E735B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shd w:val="clear" w:color="auto" w:fill="auto"/>
          </w:tcPr>
          <w:p w14:paraId="7999ECBB" w14:textId="77777777" w:rsidR="008E735B" w:rsidRPr="008E735B" w:rsidRDefault="008E735B" w:rsidP="008E735B">
            <w:pPr>
              <w:jc w:val="right"/>
              <w:rPr>
                <w:i/>
                <w:sz w:val="24"/>
                <w:szCs w:val="24"/>
              </w:rPr>
            </w:pPr>
            <w:r w:rsidRPr="008E735B">
              <w:rPr>
                <w:sz w:val="24"/>
                <w:szCs w:val="24"/>
              </w:rPr>
              <w:t xml:space="preserve">14,07 milj. </w:t>
            </w:r>
            <w:proofErr w:type="spellStart"/>
            <w:r w:rsidRPr="008E735B">
              <w:rPr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8E735B" w:rsidRPr="008E735B" w14:paraId="7ACB34AB" w14:textId="77777777" w:rsidTr="00A2684F">
        <w:tc>
          <w:tcPr>
            <w:tcW w:w="6062" w:type="dxa"/>
            <w:shd w:val="clear" w:color="auto" w:fill="auto"/>
          </w:tcPr>
          <w:p w14:paraId="3E196B50" w14:textId="77777777" w:rsidR="008E735B" w:rsidRPr="008E735B" w:rsidRDefault="008E735B" w:rsidP="008E735B">
            <w:pPr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shd w:val="clear" w:color="auto" w:fill="auto"/>
          </w:tcPr>
          <w:p w14:paraId="7036A0FE" w14:textId="77777777" w:rsidR="008E735B" w:rsidRPr="008E735B" w:rsidRDefault="008E735B" w:rsidP="008E735B">
            <w:pPr>
              <w:jc w:val="right"/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 xml:space="preserve">189,32 milj. </w:t>
            </w:r>
            <w:proofErr w:type="spellStart"/>
            <w:r w:rsidRPr="008E735B">
              <w:rPr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7B74BD" w:rsidRPr="008E735B" w14:paraId="4D8D5319" w14:textId="77777777" w:rsidTr="00A2684F">
        <w:tc>
          <w:tcPr>
            <w:tcW w:w="6062" w:type="dxa"/>
            <w:shd w:val="clear" w:color="auto" w:fill="auto"/>
          </w:tcPr>
          <w:p w14:paraId="60B082D3" w14:textId="77777777" w:rsidR="007B74BD" w:rsidRPr="008E735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E97B87C" w14:textId="77777777" w:rsidR="007B74BD" w:rsidRPr="008E735B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8E735B" w14:paraId="60DD91A5" w14:textId="77777777" w:rsidTr="00A2684F">
        <w:tc>
          <w:tcPr>
            <w:tcW w:w="6062" w:type="dxa"/>
            <w:shd w:val="clear" w:color="auto" w:fill="auto"/>
          </w:tcPr>
          <w:p w14:paraId="41B9CF35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Izložu un azartspēļu nodoklis</w:t>
            </w:r>
          </w:p>
          <w:p w14:paraId="104EF807" w14:textId="77777777" w:rsidR="00FE39C1" w:rsidRPr="008E735B" w:rsidRDefault="00FE39C1" w:rsidP="005F2D93">
            <w:pPr>
              <w:rPr>
                <w:b/>
                <w:bCs/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14:paraId="408DDADE" w14:textId="77777777" w:rsidR="00FE39C1" w:rsidRPr="008E735B" w:rsidRDefault="003C62E1" w:rsidP="005F2D93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6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8E735B">
              <w:rPr>
                <w:b/>
                <w:sz w:val="24"/>
                <w:szCs w:val="24"/>
              </w:rPr>
              <w:t xml:space="preserve"> </w:t>
            </w:r>
          </w:p>
          <w:p w14:paraId="1D124494" w14:textId="77777777" w:rsidR="00FE39C1" w:rsidRPr="008E735B" w:rsidRDefault="003C62E1" w:rsidP="003C62E1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9</w:t>
            </w:r>
            <w:r w:rsidR="005C730A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8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22E48C15" w14:textId="77777777" w:rsidTr="00A2684F">
        <w:tc>
          <w:tcPr>
            <w:tcW w:w="6062" w:type="dxa"/>
            <w:shd w:val="clear" w:color="auto" w:fill="auto"/>
          </w:tcPr>
          <w:p w14:paraId="2F294367" w14:textId="77777777" w:rsidR="00FE39C1" w:rsidRPr="008E735B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0BA5CD" w14:textId="77777777" w:rsidR="00FE39C1" w:rsidRPr="008E735B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080AF3E4" w14:textId="77777777" w:rsidTr="00A2684F">
        <w:tc>
          <w:tcPr>
            <w:tcW w:w="6062" w:type="dxa"/>
            <w:shd w:val="clear" w:color="auto" w:fill="auto"/>
          </w:tcPr>
          <w:p w14:paraId="34DEB69B" w14:textId="77777777" w:rsidR="00FE39C1" w:rsidRPr="008E735B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101BE4" w14:textId="77777777" w:rsidR="00FE39C1" w:rsidRPr="008E735B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8E735B" w14:paraId="77E0AD20" w14:textId="77777777" w:rsidTr="00A2684F">
        <w:tc>
          <w:tcPr>
            <w:tcW w:w="6062" w:type="dxa"/>
            <w:shd w:val="clear" w:color="auto" w:fill="auto"/>
          </w:tcPr>
          <w:p w14:paraId="273B212F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proofErr w:type="spellStart"/>
            <w:r w:rsidRPr="008E735B">
              <w:rPr>
                <w:b/>
                <w:sz w:val="24"/>
                <w:szCs w:val="24"/>
              </w:rPr>
              <w:t>Nenodokļu</w:t>
            </w:r>
            <w:proofErr w:type="spellEnd"/>
            <w:r w:rsidRPr="008E735B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14:paraId="2274DA1F" w14:textId="77777777" w:rsidR="00FE39C1" w:rsidRPr="008E735B" w:rsidRDefault="003C62E1" w:rsidP="003C62E1">
            <w:pPr>
              <w:jc w:val="right"/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70</w:t>
            </w:r>
            <w:r w:rsidR="00155E8B" w:rsidRPr="008E735B">
              <w:rPr>
                <w:b/>
                <w:sz w:val="24"/>
                <w:szCs w:val="24"/>
              </w:rPr>
              <w:t>,</w:t>
            </w:r>
            <w:r w:rsidRPr="008E735B">
              <w:rPr>
                <w:b/>
                <w:sz w:val="24"/>
                <w:szCs w:val="24"/>
              </w:rPr>
              <w:t>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8E735B" w14:paraId="5BF4B46C" w14:textId="77777777" w:rsidTr="00A2684F">
        <w:tc>
          <w:tcPr>
            <w:tcW w:w="6062" w:type="dxa"/>
            <w:shd w:val="clear" w:color="auto" w:fill="auto"/>
          </w:tcPr>
          <w:p w14:paraId="015EAAFA" w14:textId="77777777" w:rsidR="00FE39C1" w:rsidRPr="008E735B" w:rsidRDefault="00FE39C1" w:rsidP="005F2D93">
            <w:pPr>
              <w:rPr>
                <w:b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shd w:val="clear" w:color="auto" w:fill="auto"/>
          </w:tcPr>
          <w:p w14:paraId="27D1E029" w14:textId="77777777" w:rsidR="00FE39C1" w:rsidRPr="008E735B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  <w:p w14:paraId="3991463C" w14:textId="77777777" w:rsidR="00FE39C1" w:rsidRPr="008E735B" w:rsidRDefault="00155E8B" w:rsidP="005F2D93">
            <w:pPr>
              <w:jc w:val="right"/>
              <w:rPr>
                <w:b/>
                <w:i/>
                <w:sz w:val="24"/>
                <w:szCs w:val="24"/>
              </w:rPr>
            </w:pPr>
            <w:r w:rsidRPr="008E735B">
              <w:rPr>
                <w:b/>
                <w:sz w:val="24"/>
                <w:szCs w:val="24"/>
              </w:rPr>
              <w:t>1</w:t>
            </w:r>
            <w:r w:rsidR="003C62E1" w:rsidRPr="008E735B">
              <w:rPr>
                <w:b/>
                <w:sz w:val="24"/>
                <w:szCs w:val="24"/>
              </w:rPr>
              <w:t>15</w:t>
            </w:r>
            <w:r w:rsidRPr="008E735B">
              <w:rPr>
                <w:b/>
                <w:sz w:val="24"/>
                <w:szCs w:val="24"/>
              </w:rPr>
              <w:t>,</w:t>
            </w:r>
            <w:r w:rsidR="003C62E1" w:rsidRPr="008E735B">
              <w:rPr>
                <w:b/>
                <w:sz w:val="24"/>
                <w:szCs w:val="24"/>
              </w:rPr>
              <w:t>0</w:t>
            </w:r>
            <w:r w:rsidR="00FE39C1" w:rsidRPr="008E735B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14:paraId="154039C3" w14:textId="77777777" w:rsidR="00FE39C1" w:rsidRPr="008E735B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8E735B" w14:paraId="4CCF6A6F" w14:textId="77777777" w:rsidTr="00A2684F">
        <w:tc>
          <w:tcPr>
            <w:tcW w:w="6062" w:type="dxa"/>
            <w:shd w:val="clear" w:color="auto" w:fill="auto"/>
          </w:tcPr>
          <w:p w14:paraId="55BA711E" w14:textId="77777777" w:rsidR="00FE39C1" w:rsidRPr="008E735B" w:rsidRDefault="00FE39C1" w:rsidP="005F2D93">
            <w:pPr>
              <w:rPr>
                <w:b/>
                <w:bCs/>
                <w:sz w:val="24"/>
                <w:szCs w:val="24"/>
              </w:rPr>
            </w:pPr>
          </w:p>
          <w:p w14:paraId="6C927C97" w14:textId="77777777" w:rsidR="00FE39C1" w:rsidRPr="008E735B" w:rsidRDefault="00FE39C1" w:rsidP="005F2D93">
            <w:pPr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8E735B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8E735B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shd w:val="clear" w:color="auto" w:fill="auto"/>
          </w:tcPr>
          <w:p w14:paraId="4AC28DE3" w14:textId="77777777" w:rsidR="00FE39C1" w:rsidRPr="008E735B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24CA1FFF" w14:textId="77777777" w:rsidR="00FE39C1" w:rsidRPr="008E735B" w:rsidRDefault="00FE39C1" w:rsidP="005F2D93">
            <w:pPr>
              <w:jc w:val="right"/>
              <w:rPr>
                <w:b/>
                <w:bCs/>
                <w:sz w:val="24"/>
                <w:szCs w:val="24"/>
              </w:rPr>
            </w:pPr>
          </w:p>
          <w:p w14:paraId="793A4E01" w14:textId="77777777" w:rsidR="00FE39C1" w:rsidRPr="008E735B" w:rsidRDefault="00155E8B" w:rsidP="007E3159">
            <w:pPr>
              <w:jc w:val="right"/>
              <w:rPr>
                <w:sz w:val="24"/>
                <w:szCs w:val="24"/>
              </w:rPr>
            </w:pPr>
            <w:r w:rsidRPr="008E735B">
              <w:rPr>
                <w:b/>
                <w:bCs/>
                <w:sz w:val="24"/>
                <w:szCs w:val="24"/>
              </w:rPr>
              <w:t>3</w:t>
            </w:r>
            <w:r w:rsidR="007E3159" w:rsidRPr="008E735B">
              <w:rPr>
                <w:b/>
                <w:bCs/>
                <w:sz w:val="24"/>
                <w:szCs w:val="24"/>
              </w:rPr>
              <w:t>87</w:t>
            </w:r>
            <w:r w:rsidRPr="008E735B">
              <w:rPr>
                <w:b/>
                <w:bCs/>
                <w:sz w:val="24"/>
                <w:szCs w:val="24"/>
              </w:rPr>
              <w:t>,</w:t>
            </w:r>
            <w:r w:rsidR="007E3159" w:rsidRPr="008E735B">
              <w:rPr>
                <w:b/>
                <w:bCs/>
                <w:sz w:val="24"/>
                <w:szCs w:val="24"/>
              </w:rPr>
              <w:t>05</w:t>
            </w:r>
            <w:r w:rsidR="00FE39C1" w:rsidRPr="008E735B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8E735B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8E735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C32F7B8" w14:textId="77777777" w:rsidR="00FE39C1" w:rsidRPr="008E735B" w:rsidRDefault="00FE39C1" w:rsidP="00FE39C1">
      <w:pPr>
        <w:rPr>
          <w:b/>
          <w:bCs/>
          <w:sz w:val="24"/>
          <w:szCs w:val="24"/>
        </w:rPr>
      </w:pPr>
    </w:p>
    <w:p w14:paraId="5A562E0D" w14:textId="77777777" w:rsidR="00FE39C1" w:rsidRPr="0037603B" w:rsidRDefault="00FE39C1" w:rsidP="00FE39C1">
      <w:pPr>
        <w:jc w:val="both"/>
        <w:rPr>
          <w:bCs/>
          <w:sz w:val="24"/>
          <w:szCs w:val="24"/>
        </w:rPr>
      </w:pPr>
      <w:r w:rsidRPr="008E735B">
        <w:rPr>
          <w:bCs/>
          <w:sz w:val="24"/>
          <w:szCs w:val="24"/>
        </w:rPr>
        <w:t>Finanšu ministrijas novērtējums nekustamā</w:t>
      </w:r>
      <w:r w:rsidR="005C730A" w:rsidRPr="008E735B">
        <w:rPr>
          <w:bCs/>
          <w:sz w:val="24"/>
          <w:szCs w:val="24"/>
        </w:rPr>
        <w:t xml:space="preserve"> īpašuma nodokļa ieņēmumiem 202</w:t>
      </w:r>
      <w:r w:rsidR="003C62E1" w:rsidRPr="008E735B">
        <w:rPr>
          <w:bCs/>
          <w:sz w:val="24"/>
          <w:szCs w:val="24"/>
        </w:rPr>
        <w:t>2</w:t>
      </w:r>
      <w:r w:rsidRPr="008E735B">
        <w:rPr>
          <w:bCs/>
          <w:sz w:val="24"/>
          <w:szCs w:val="24"/>
        </w:rPr>
        <w:t xml:space="preserve">.gadā ir </w:t>
      </w:r>
      <w:r w:rsidRPr="008E735B">
        <w:rPr>
          <w:b/>
          <w:bCs/>
          <w:sz w:val="24"/>
          <w:szCs w:val="24"/>
        </w:rPr>
        <w:t>23</w:t>
      </w:r>
      <w:r w:rsidR="003C62E1" w:rsidRPr="008E735B">
        <w:rPr>
          <w:b/>
          <w:bCs/>
          <w:sz w:val="24"/>
          <w:szCs w:val="24"/>
        </w:rPr>
        <w:t>4</w:t>
      </w:r>
      <w:r w:rsidR="00F53AC5" w:rsidRPr="008E735B">
        <w:rPr>
          <w:b/>
          <w:bCs/>
          <w:sz w:val="24"/>
          <w:szCs w:val="24"/>
        </w:rPr>
        <w:t>,</w:t>
      </w:r>
      <w:r w:rsidR="003C62E1" w:rsidRPr="008E735B">
        <w:rPr>
          <w:b/>
          <w:bCs/>
          <w:sz w:val="24"/>
          <w:szCs w:val="24"/>
        </w:rPr>
        <w:t>18</w:t>
      </w:r>
      <w:r w:rsidRPr="008E735B">
        <w:rPr>
          <w:b/>
          <w:bCs/>
          <w:sz w:val="24"/>
          <w:szCs w:val="24"/>
        </w:rPr>
        <w:t xml:space="preserve"> milj. </w:t>
      </w:r>
      <w:proofErr w:type="spellStart"/>
      <w:r w:rsidRPr="008E735B">
        <w:rPr>
          <w:b/>
          <w:bCs/>
          <w:i/>
          <w:sz w:val="24"/>
          <w:szCs w:val="24"/>
        </w:rPr>
        <w:t>euro</w:t>
      </w:r>
      <w:proofErr w:type="spellEnd"/>
      <w:r w:rsidRPr="008E735B">
        <w:rPr>
          <w:b/>
          <w:bCs/>
          <w:sz w:val="24"/>
          <w:szCs w:val="24"/>
        </w:rPr>
        <w:t>,</w:t>
      </w:r>
      <w:r w:rsidRPr="008E735B">
        <w:rPr>
          <w:bCs/>
          <w:sz w:val="24"/>
          <w:szCs w:val="24"/>
        </w:rPr>
        <w:t xml:space="preserve"> tajā skaitā nekustamā īpašuma nodokļa parādu maksājumi </w:t>
      </w:r>
      <w:r w:rsidR="00155E8B" w:rsidRPr="008E735B">
        <w:rPr>
          <w:bCs/>
          <w:sz w:val="24"/>
          <w:szCs w:val="24"/>
        </w:rPr>
        <w:t>1</w:t>
      </w:r>
      <w:r w:rsidR="008E735B" w:rsidRPr="008E735B">
        <w:rPr>
          <w:bCs/>
          <w:sz w:val="24"/>
          <w:szCs w:val="24"/>
        </w:rPr>
        <w:t>4</w:t>
      </w:r>
      <w:r w:rsidR="00155E8B" w:rsidRPr="008E735B">
        <w:rPr>
          <w:bCs/>
          <w:sz w:val="24"/>
          <w:szCs w:val="24"/>
        </w:rPr>
        <w:t>,</w:t>
      </w:r>
      <w:r w:rsidR="008E735B" w:rsidRPr="008E735B">
        <w:rPr>
          <w:bCs/>
          <w:sz w:val="24"/>
          <w:szCs w:val="24"/>
        </w:rPr>
        <w:t>07</w:t>
      </w:r>
      <w:r w:rsidRPr="008E735B">
        <w:rPr>
          <w:bCs/>
          <w:sz w:val="24"/>
          <w:szCs w:val="24"/>
        </w:rPr>
        <w:t xml:space="preserve"> milj. </w:t>
      </w:r>
      <w:proofErr w:type="spellStart"/>
      <w:r w:rsidRPr="008E735B">
        <w:rPr>
          <w:bCs/>
          <w:i/>
          <w:sz w:val="24"/>
          <w:szCs w:val="24"/>
        </w:rPr>
        <w:t>euro</w:t>
      </w:r>
      <w:proofErr w:type="spellEnd"/>
      <w:r w:rsidRPr="008E735B">
        <w:rPr>
          <w:bCs/>
          <w:sz w:val="24"/>
          <w:szCs w:val="24"/>
        </w:rPr>
        <w:t>.</w:t>
      </w:r>
    </w:p>
    <w:p w14:paraId="37318B41" w14:textId="415E89EA"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14:paraId="62DDB637" w14:textId="6EA43E82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2DFEFBF6" w14:textId="15D86B7D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2AA0602C" w14:textId="77777777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p w14:paraId="7C1E6FF6" w14:textId="36BA27BB" w:rsidR="00DE03B2" w:rsidRDefault="00DE03B2" w:rsidP="007B74BD">
      <w:pPr>
        <w:ind w:right="-1"/>
        <w:jc w:val="both"/>
        <w:rPr>
          <w:b/>
          <w:bCs/>
          <w:sz w:val="24"/>
          <w:szCs w:val="24"/>
        </w:rPr>
      </w:pPr>
    </w:p>
    <w:sectPr w:rsidR="00DE03B2" w:rsidSect="00404F82">
      <w:headerReference w:type="default" r:id="rId7"/>
      <w:footerReference w:type="default" r:id="rId8"/>
      <w:head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C968" w14:textId="77777777" w:rsidR="0068182D" w:rsidRDefault="0068182D" w:rsidP="007B74BD">
      <w:r>
        <w:separator/>
      </w:r>
    </w:p>
  </w:endnote>
  <w:endnote w:type="continuationSeparator" w:id="0">
    <w:p w14:paraId="4426718C" w14:textId="77777777" w:rsidR="0068182D" w:rsidRDefault="0068182D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5DE9" w14:textId="77777777"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27F7" w14:textId="77777777" w:rsidR="0068182D" w:rsidRDefault="0068182D" w:rsidP="007B74BD">
      <w:r>
        <w:separator/>
      </w:r>
    </w:p>
  </w:footnote>
  <w:footnote w:type="continuationSeparator" w:id="0">
    <w:p w14:paraId="1B09FAEF" w14:textId="77777777" w:rsidR="0068182D" w:rsidRDefault="0068182D" w:rsidP="007B74BD">
      <w:r>
        <w:continuationSeparator/>
      </w:r>
    </w:p>
  </w:footnote>
  <w:footnote w:id="1">
    <w:p w14:paraId="68EC723F" w14:textId="77777777"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5B40" w14:textId="77777777"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14:paraId="73699FEF" w14:textId="77777777" w:rsidR="009054B0" w:rsidRDefault="00B928CE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B07A" w14:textId="77777777" w:rsidR="009054B0" w:rsidRDefault="00B928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D"/>
    <w:rsid w:val="00006B89"/>
    <w:rsid w:val="000116F4"/>
    <w:rsid w:val="00012B76"/>
    <w:rsid w:val="00031131"/>
    <w:rsid w:val="0003289D"/>
    <w:rsid w:val="00056A10"/>
    <w:rsid w:val="000B3A16"/>
    <w:rsid w:val="00102568"/>
    <w:rsid w:val="00152821"/>
    <w:rsid w:val="00155E8B"/>
    <w:rsid w:val="001C7DFD"/>
    <w:rsid w:val="0020380A"/>
    <w:rsid w:val="00216285"/>
    <w:rsid w:val="002C7A19"/>
    <w:rsid w:val="00313832"/>
    <w:rsid w:val="00394239"/>
    <w:rsid w:val="003A5FE9"/>
    <w:rsid w:val="003C62E1"/>
    <w:rsid w:val="00401F88"/>
    <w:rsid w:val="00411322"/>
    <w:rsid w:val="00412C7B"/>
    <w:rsid w:val="00413B71"/>
    <w:rsid w:val="00462A06"/>
    <w:rsid w:val="00473A15"/>
    <w:rsid w:val="004D2333"/>
    <w:rsid w:val="004E7552"/>
    <w:rsid w:val="004F04BD"/>
    <w:rsid w:val="00561ED7"/>
    <w:rsid w:val="00574774"/>
    <w:rsid w:val="00597EEB"/>
    <w:rsid w:val="005C730A"/>
    <w:rsid w:val="006051C5"/>
    <w:rsid w:val="006323D9"/>
    <w:rsid w:val="00635706"/>
    <w:rsid w:val="006705B5"/>
    <w:rsid w:val="0068182D"/>
    <w:rsid w:val="006F2B54"/>
    <w:rsid w:val="006F3E3E"/>
    <w:rsid w:val="00766F59"/>
    <w:rsid w:val="00785A1C"/>
    <w:rsid w:val="007B74BD"/>
    <w:rsid w:val="007D2AAD"/>
    <w:rsid w:val="007D7EE9"/>
    <w:rsid w:val="007E08EA"/>
    <w:rsid w:val="007E0953"/>
    <w:rsid w:val="007E3159"/>
    <w:rsid w:val="008203B3"/>
    <w:rsid w:val="008358AF"/>
    <w:rsid w:val="00863FF6"/>
    <w:rsid w:val="008A45C6"/>
    <w:rsid w:val="008A7415"/>
    <w:rsid w:val="008B2131"/>
    <w:rsid w:val="008C1412"/>
    <w:rsid w:val="008C32CF"/>
    <w:rsid w:val="008E5606"/>
    <w:rsid w:val="008E735B"/>
    <w:rsid w:val="008F2BEF"/>
    <w:rsid w:val="008F4958"/>
    <w:rsid w:val="008F6D39"/>
    <w:rsid w:val="008F7903"/>
    <w:rsid w:val="00900AC6"/>
    <w:rsid w:val="00903384"/>
    <w:rsid w:val="0093200E"/>
    <w:rsid w:val="009651DF"/>
    <w:rsid w:val="00982663"/>
    <w:rsid w:val="00986B33"/>
    <w:rsid w:val="00996BDC"/>
    <w:rsid w:val="009F2004"/>
    <w:rsid w:val="009F6889"/>
    <w:rsid w:val="00A2684F"/>
    <w:rsid w:val="00A36756"/>
    <w:rsid w:val="00A87D68"/>
    <w:rsid w:val="00AA6227"/>
    <w:rsid w:val="00AB1BA4"/>
    <w:rsid w:val="00AD69FE"/>
    <w:rsid w:val="00B05492"/>
    <w:rsid w:val="00B21A36"/>
    <w:rsid w:val="00B46A37"/>
    <w:rsid w:val="00B76495"/>
    <w:rsid w:val="00B928CE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CF3EE3"/>
    <w:rsid w:val="00D1006C"/>
    <w:rsid w:val="00D22352"/>
    <w:rsid w:val="00D22E26"/>
    <w:rsid w:val="00D32A37"/>
    <w:rsid w:val="00D75BFA"/>
    <w:rsid w:val="00D81066"/>
    <w:rsid w:val="00D81540"/>
    <w:rsid w:val="00DD685B"/>
    <w:rsid w:val="00DD7842"/>
    <w:rsid w:val="00DE03B2"/>
    <w:rsid w:val="00E2776A"/>
    <w:rsid w:val="00E549CE"/>
    <w:rsid w:val="00E67667"/>
    <w:rsid w:val="00EC25E8"/>
    <w:rsid w:val="00ED5E68"/>
    <w:rsid w:val="00ED66B9"/>
    <w:rsid w:val="00F02246"/>
    <w:rsid w:val="00F04681"/>
    <w:rsid w:val="00F063C6"/>
    <w:rsid w:val="00F110A3"/>
    <w:rsid w:val="00F2662A"/>
    <w:rsid w:val="00F53AC5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652F07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8</cp:revision>
  <cp:lastPrinted>2019-10-02T08:39:00Z</cp:lastPrinted>
  <dcterms:created xsi:type="dcterms:W3CDTF">2021-09-25T06:44:00Z</dcterms:created>
  <dcterms:modified xsi:type="dcterms:W3CDTF">2021-10-11T10:48:00Z</dcterms:modified>
</cp:coreProperties>
</file>