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48A40" w14:textId="77777777" w:rsidR="002B56AC" w:rsidRDefault="002B56AC">
      <w:pPr>
        <w:pStyle w:val="Parasts"/>
        <w:jc w:val="both"/>
      </w:pPr>
    </w:p>
    <w:p w14:paraId="2588B303" w14:textId="77777777" w:rsidR="002B56AC" w:rsidRDefault="002B56AC">
      <w:pPr>
        <w:pStyle w:val="Parasts"/>
        <w:jc w:val="both"/>
      </w:pPr>
    </w:p>
    <w:p w14:paraId="084833F0" w14:textId="77777777" w:rsidR="002B56AC" w:rsidRDefault="004816FC">
      <w:pPr>
        <w:pStyle w:val="Parasts"/>
        <w:jc w:val="both"/>
      </w:pPr>
      <w:r>
        <w:rPr>
          <w:rStyle w:val="Noklusjumarindkopasfonts"/>
          <w:b/>
          <w:bCs/>
          <w:color w:val="0070C0"/>
          <w:sz w:val="32"/>
          <w:szCs w:val="32"/>
        </w:rPr>
        <w:t>Valsts bērnu tiesību aizsardzības inspekcijas Bērnu tiesības aizsardzības departamenta darba rezultāti</w:t>
      </w:r>
    </w:p>
    <w:p w14:paraId="54FD3A5B" w14:textId="77777777" w:rsidR="002B56AC" w:rsidRDefault="004816FC">
      <w:pPr>
        <w:pStyle w:val="Parasts"/>
        <w:tabs>
          <w:tab w:val="left" w:pos="4495"/>
          <w:tab w:val="center" w:pos="7568"/>
        </w:tabs>
        <w:jc w:val="both"/>
        <w:rPr>
          <w:b/>
          <w:bCs/>
          <w:color w:val="0070C0"/>
          <w:sz w:val="28"/>
          <w:szCs w:val="28"/>
        </w:rPr>
      </w:pPr>
      <w:r>
        <w:rPr>
          <w:b/>
          <w:bCs/>
          <w:color w:val="0070C0"/>
          <w:sz w:val="28"/>
          <w:szCs w:val="28"/>
        </w:rPr>
        <w:tab/>
      </w:r>
      <w:r>
        <w:rPr>
          <w:b/>
          <w:bCs/>
          <w:color w:val="0070C0"/>
          <w:sz w:val="28"/>
          <w:szCs w:val="28"/>
        </w:rPr>
        <w:tab/>
        <w:t>2020. gadā</w:t>
      </w:r>
    </w:p>
    <w:p w14:paraId="11B4896E" w14:textId="77777777" w:rsidR="002B56AC" w:rsidRDefault="002B56AC">
      <w:pPr>
        <w:pStyle w:val="Parasts"/>
        <w:tabs>
          <w:tab w:val="left" w:pos="4495"/>
          <w:tab w:val="center" w:pos="7568"/>
        </w:tabs>
        <w:jc w:val="both"/>
        <w:rPr>
          <w:b/>
          <w:bCs/>
          <w:color w:val="0070C0"/>
          <w:sz w:val="28"/>
          <w:szCs w:val="28"/>
        </w:rPr>
      </w:pPr>
    </w:p>
    <w:p w14:paraId="560908AB" w14:textId="77777777" w:rsidR="002B56AC" w:rsidRDefault="004816FC">
      <w:pPr>
        <w:pStyle w:val="Sarakstarindkopa"/>
        <w:numPr>
          <w:ilvl w:val="0"/>
          <w:numId w:val="1"/>
        </w:numPr>
        <w:jc w:val="both"/>
        <w:rPr>
          <w:b/>
          <w:bCs/>
          <w:sz w:val="28"/>
          <w:szCs w:val="28"/>
        </w:rPr>
      </w:pPr>
      <w:r>
        <w:rPr>
          <w:b/>
          <w:bCs/>
          <w:sz w:val="28"/>
          <w:szCs w:val="28"/>
        </w:rPr>
        <w:t>Kopumā veiktas 77 bērnu tiesību ievērošanas pārbaudes:</w:t>
      </w:r>
    </w:p>
    <w:p w14:paraId="339E5B71" w14:textId="77777777" w:rsidR="002B56AC" w:rsidRDefault="004816FC">
      <w:pPr>
        <w:pStyle w:val="Sarakstarindkopa"/>
        <w:numPr>
          <w:ilvl w:val="0"/>
          <w:numId w:val="2"/>
        </w:numPr>
        <w:jc w:val="both"/>
      </w:pPr>
      <w:r>
        <w:t xml:space="preserve">8 pārbaudes veiktas </w:t>
      </w:r>
      <w:proofErr w:type="spellStart"/>
      <w:r>
        <w:t>ārpusģimenes</w:t>
      </w:r>
      <w:proofErr w:type="spellEnd"/>
      <w:r>
        <w:t xml:space="preserve"> aprūpes iestādēs, no tām – 4 plānotās pārbaudes un 4 pārbaudes uz iesnieguma pamata;</w:t>
      </w:r>
    </w:p>
    <w:p w14:paraId="5D26D74A" w14:textId="77777777" w:rsidR="002B56AC" w:rsidRDefault="004816FC">
      <w:pPr>
        <w:pStyle w:val="Sarakstarindkopa"/>
        <w:numPr>
          <w:ilvl w:val="0"/>
          <w:numId w:val="2"/>
        </w:numPr>
        <w:jc w:val="both"/>
      </w:pPr>
      <w:r>
        <w:t xml:space="preserve"> 69 pārbaudes (3 plānotās pārbaudes, 3 pēcpārbaudes un 63 pārbaudes uz sūdzību pamata) veiktas citās iestādēs. </w:t>
      </w:r>
    </w:p>
    <w:p w14:paraId="361E1889" w14:textId="77777777" w:rsidR="002B56AC" w:rsidRDefault="004816FC">
      <w:pPr>
        <w:pStyle w:val="Parasts"/>
        <w:ind w:left="720"/>
        <w:jc w:val="both"/>
      </w:pPr>
      <w:r>
        <w:t xml:space="preserve">No tām: </w:t>
      </w:r>
    </w:p>
    <w:p w14:paraId="3BA013C4" w14:textId="77777777" w:rsidR="002B56AC" w:rsidRDefault="004816FC">
      <w:pPr>
        <w:pStyle w:val="Parasts"/>
        <w:ind w:left="720"/>
        <w:jc w:val="both"/>
      </w:pPr>
      <w:r>
        <w:t xml:space="preserve">- 14 pie bērnu uzraudzības pakalpojumu sniedzējiem; </w:t>
      </w:r>
    </w:p>
    <w:p w14:paraId="0723116F" w14:textId="77777777" w:rsidR="002B56AC" w:rsidRDefault="004816FC">
      <w:pPr>
        <w:pStyle w:val="Parasts"/>
        <w:ind w:left="720"/>
        <w:jc w:val="both"/>
      </w:pPr>
      <w:r>
        <w:rPr>
          <w:rStyle w:val="Noklusjumarindkopasfonts"/>
          <w:color w:val="00B050"/>
        </w:rPr>
        <w:t xml:space="preserve">- </w:t>
      </w:r>
      <w:r>
        <w:t>31 skolās (tai skaitā 1 sporta skolā un 1 mūzikas un mākslas skolā);</w:t>
      </w:r>
    </w:p>
    <w:p w14:paraId="676090E2" w14:textId="77777777" w:rsidR="002B56AC" w:rsidRDefault="004816FC">
      <w:pPr>
        <w:pStyle w:val="Parasts"/>
        <w:ind w:left="720"/>
        <w:jc w:val="both"/>
      </w:pPr>
      <w:r>
        <w:t xml:space="preserve">- 19 pirmsskolas izglītības iestādēs; </w:t>
      </w:r>
    </w:p>
    <w:p w14:paraId="7EA32BD4" w14:textId="77777777" w:rsidR="002B56AC" w:rsidRDefault="004816FC">
      <w:pPr>
        <w:pStyle w:val="Parasts"/>
        <w:ind w:left="720"/>
        <w:jc w:val="both"/>
      </w:pPr>
      <w:r>
        <w:t xml:space="preserve">- 1 deju kolektīvā; </w:t>
      </w:r>
    </w:p>
    <w:p w14:paraId="54D55C46" w14:textId="77777777" w:rsidR="002B56AC" w:rsidRDefault="004816FC">
      <w:pPr>
        <w:pStyle w:val="Parasts"/>
        <w:ind w:left="720"/>
        <w:jc w:val="both"/>
      </w:pPr>
      <w:r>
        <w:t xml:space="preserve">-1 sociālo pakalpojumu centrā; </w:t>
      </w:r>
    </w:p>
    <w:p w14:paraId="1841D7CD" w14:textId="77777777" w:rsidR="002B56AC" w:rsidRDefault="004816FC">
      <w:pPr>
        <w:pStyle w:val="Parasts"/>
        <w:ind w:left="720"/>
        <w:jc w:val="both"/>
      </w:pPr>
      <w:r>
        <w:t xml:space="preserve">-2 biedrībās; </w:t>
      </w:r>
    </w:p>
    <w:p w14:paraId="31009C4E" w14:textId="77777777" w:rsidR="002B56AC" w:rsidRDefault="004816FC">
      <w:pPr>
        <w:pStyle w:val="Parasts"/>
        <w:ind w:left="720"/>
        <w:jc w:val="both"/>
      </w:pPr>
      <w:r>
        <w:t>- 1 krīzes centrā.-</w:t>
      </w:r>
    </w:p>
    <w:p w14:paraId="7F792516" w14:textId="77777777" w:rsidR="002B56AC" w:rsidRDefault="004816FC">
      <w:pPr>
        <w:pStyle w:val="Parasts"/>
        <w:ind w:firstLine="720"/>
        <w:jc w:val="both"/>
      </w:pPr>
      <w:r>
        <w:rPr>
          <w:rStyle w:val="Noklusjumarindkopasfonts"/>
          <w:b/>
          <w:bCs/>
          <w:u w:val="single"/>
        </w:rPr>
        <w:t>Būtiskākās pārbaužu laikā konstatētās problēmas</w:t>
      </w:r>
      <w:r>
        <w:rPr>
          <w:rStyle w:val="Noklusjumarindkopasfonts"/>
          <w:b/>
          <w:bCs/>
        </w:rPr>
        <w:t>:</w:t>
      </w:r>
    </w:p>
    <w:p w14:paraId="6590CB81" w14:textId="77777777" w:rsidR="002B56AC" w:rsidRDefault="004816FC">
      <w:pPr>
        <w:pStyle w:val="Parasts"/>
        <w:numPr>
          <w:ilvl w:val="0"/>
          <w:numId w:val="3"/>
        </w:numPr>
        <w:jc w:val="both"/>
      </w:pPr>
      <w:r>
        <w:t>nepietiekama sadarbība ar vecākiem;</w:t>
      </w:r>
    </w:p>
    <w:p w14:paraId="7EDC0048" w14:textId="77777777" w:rsidR="002B56AC" w:rsidRDefault="004816FC">
      <w:pPr>
        <w:pStyle w:val="Parasts"/>
        <w:numPr>
          <w:ilvl w:val="0"/>
          <w:numId w:val="3"/>
        </w:numPr>
        <w:jc w:val="both"/>
      </w:pPr>
      <w:r>
        <w:t>emocionāla un fiziska vienaudžu savstarpējā vardarbība;</w:t>
      </w:r>
    </w:p>
    <w:p w14:paraId="5903C3FD" w14:textId="77777777" w:rsidR="002B56AC" w:rsidRDefault="004816FC">
      <w:pPr>
        <w:pStyle w:val="Parasts"/>
        <w:numPr>
          <w:ilvl w:val="0"/>
          <w:numId w:val="3"/>
        </w:numPr>
        <w:jc w:val="both"/>
      </w:pPr>
      <w:r>
        <w:t xml:space="preserve">riski, kuri saistīti ar atsevišķu izglītojamo un pirmsskolas izglītības iestāžu audzēkņu ilgstošām uzvedības problēmām (piemēram, nav izstrādāti rīcības plāni saistībā ar izglītojamo destruktīvu/agresīvu uzvedību; nepietiekama atbalsta personāla iesaistīšanās </w:t>
      </w:r>
      <w:proofErr w:type="spellStart"/>
      <w:r>
        <w:t>problēmsituāciju</w:t>
      </w:r>
      <w:proofErr w:type="spellEnd"/>
      <w:r>
        <w:t xml:space="preserve"> risināšanā vai atbalsta personāla trūkums);</w:t>
      </w:r>
    </w:p>
    <w:p w14:paraId="0082A83E" w14:textId="77777777" w:rsidR="002B56AC" w:rsidRDefault="004816FC">
      <w:pPr>
        <w:pStyle w:val="Parasts"/>
        <w:numPr>
          <w:ilvl w:val="0"/>
          <w:numId w:val="3"/>
        </w:numPr>
        <w:jc w:val="both"/>
      </w:pPr>
      <w:r>
        <w:lastRenderedPageBreak/>
        <w:t>neatbilstošu disciplinēšanas un nepedagoģisku metožu pielietošana saskarsmē ar skolēniem un pirmsskolas izglītības iestāžu audzēkņiem no pedagogu un pedagogu palīgu puses;</w:t>
      </w:r>
    </w:p>
    <w:p w14:paraId="2F7CF225" w14:textId="77777777" w:rsidR="002B56AC" w:rsidRDefault="004816FC">
      <w:pPr>
        <w:pStyle w:val="Parasts"/>
        <w:numPr>
          <w:ilvl w:val="0"/>
          <w:numId w:val="3"/>
        </w:numPr>
        <w:jc w:val="both"/>
      </w:pPr>
      <w:r>
        <w:t>iespējama vardarbība (fiziska un/vai emocionāla) no pedagogu un darbinieku puses pret skolēniem un pirmsskolas izglītības iestāžu audzēkņiem;</w:t>
      </w:r>
    </w:p>
    <w:p w14:paraId="676241F1" w14:textId="77777777" w:rsidR="002B56AC" w:rsidRDefault="004816FC">
      <w:pPr>
        <w:pStyle w:val="Parasts"/>
        <w:numPr>
          <w:ilvl w:val="0"/>
          <w:numId w:val="3"/>
        </w:numPr>
        <w:jc w:val="both"/>
      </w:pPr>
      <w:r>
        <w:t>nepietiekams darbinieku skaits, sniedzot bērnu uzraudzības pakalpojumu;</w:t>
      </w:r>
    </w:p>
    <w:p w14:paraId="3F88B15A" w14:textId="77777777" w:rsidR="002B56AC" w:rsidRDefault="004816FC">
      <w:pPr>
        <w:pStyle w:val="Parasts"/>
        <w:numPr>
          <w:ilvl w:val="0"/>
          <w:numId w:val="3"/>
        </w:numPr>
        <w:jc w:val="both"/>
      </w:pPr>
      <w:r>
        <w:t xml:space="preserve">nepilnības iekšējos normatīvajos aktos (piemēram, nav izstrādāta bērnu sūdzību un iesniegumu izskatīšanas kārtība); </w:t>
      </w:r>
    </w:p>
    <w:p w14:paraId="7A088FFA" w14:textId="77777777" w:rsidR="002B56AC" w:rsidRDefault="004816FC">
      <w:pPr>
        <w:pStyle w:val="Parasts"/>
        <w:numPr>
          <w:ilvl w:val="0"/>
          <w:numId w:val="3"/>
        </w:numPr>
        <w:jc w:val="both"/>
      </w:pPr>
      <w:r>
        <w:t xml:space="preserve">nelabvēlīga sociālā vide; </w:t>
      </w:r>
    </w:p>
    <w:p w14:paraId="35885232" w14:textId="77777777" w:rsidR="002B56AC" w:rsidRDefault="004816FC">
      <w:pPr>
        <w:pStyle w:val="Parasts"/>
        <w:numPr>
          <w:ilvl w:val="0"/>
          <w:numId w:val="3"/>
        </w:numPr>
        <w:jc w:val="both"/>
      </w:pPr>
      <w:r>
        <w:t xml:space="preserve">apdraudēta bērnu drošība; </w:t>
      </w:r>
    </w:p>
    <w:p w14:paraId="49C6230D" w14:textId="77777777" w:rsidR="002B56AC" w:rsidRDefault="004816FC">
      <w:pPr>
        <w:pStyle w:val="Parasts"/>
        <w:numPr>
          <w:ilvl w:val="0"/>
          <w:numId w:val="3"/>
        </w:numPr>
        <w:jc w:val="both"/>
      </w:pPr>
      <w:r>
        <w:t xml:space="preserve">bērnu uzraudzības pakalpojuma sniegšana nav saskaņota ar Veselības inspekciju un Valsts ugunsdzēsības glābšanas dienestu; </w:t>
      </w:r>
    </w:p>
    <w:p w14:paraId="513B9039" w14:textId="77777777" w:rsidR="002B56AC" w:rsidRDefault="004816FC">
      <w:pPr>
        <w:pStyle w:val="Parasts"/>
        <w:numPr>
          <w:ilvl w:val="0"/>
          <w:numId w:val="3"/>
        </w:numPr>
        <w:jc w:val="both"/>
      </w:pPr>
      <w:r>
        <w:t>iestāde nav pārliecinājusies par darbinieku iespējamo sodāmību.</w:t>
      </w:r>
    </w:p>
    <w:p w14:paraId="7518C720" w14:textId="77777777" w:rsidR="002B56AC" w:rsidRDefault="002B56AC">
      <w:pPr>
        <w:pStyle w:val="Parasts"/>
        <w:jc w:val="both"/>
      </w:pPr>
    </w:p>
    <w:p w14:paraId="529C1075" w14:textId="77777777" w:rsidR="002B56AC" w:rsidRDefault="004816FC">
      <w:pPr>
        <w:pStyle w:val="Parasts"/>
        <w:ind w:firstLine="720"/>
        <w:jc w:val="both"/>
      </w:pPr>
      <w:r>
        <w:rPr>
          <w:rStyle w:val="Noklusjumarindkopasfonts"/>
          <w:b/>
          <w:bCs/>
          <w:u w:val="single"/>
        </w:rPr>
        <w:t>No iesniegtajiem iesniegumiem/sūdzībām</w:t>
      </w:r>
      <w:r>
        <w:rPr>
          <w:rStyle w:val="Noklusjumarindkopasfonts"/>
          <w:b/>
          <w:bCs/>
        </w:rPr>
        <w:t>:</w:t>
      </w:r>
    </w:p>
    <w:p w14:paraId="48303FD4" w14:textId="77777777" w:rsidR="002B56AC" w:rsidRDefault="004816FC">
      <w:pPr>
        <w:pStyle w:val="Sarakstarindkopa"/>
        <w:numPr>
          <w:ilvl w:val="0"/>
          <w:numId w:val="3"/>
        </w:numPr>
        <w:jc w:val="both"/>
      </w:pPr>
      <w:r>
        <w:t>17 apstiprinājušās;</w:t>
      </w:r>
    </w:p>
    <w:p w14:paraId="7E0D945C" w14:textId="77777777" w:rsidR="002B56AC" w:rsidRDefault="004816FC">
      <w:pPr>
        <w:pStyle w:val="Sarakstarindkopa"/>
        <w:numPr>
          <w:ilvl w:val="0"/>
          <w:numId w:val="3"/>
        </w:numPr>
        <w:jc w:val="both"/>
      </w:pPr>
      <w:r>
        <w:t>26 daļēji apstiprinājušās;</w:t>
      </w:r>
    </w:p>
    <w:p w14:paraId="6A018049" w14:textId="77777777" w:rsidR="002B56AC" w:rsidRDefault="004816FC">
      <w:pPr>
        <w:pStyle w:val="Sarakstarindkopa"/>
        <w:numPr>
          <w:ilvl w:val="0"/>
          <w:numId w:val="3"/>
        </w:numPr>
        <w:jc w:val="both"/>
      </w:pPr>
      <w:r>
        <w:t>20 nav apstiprinājušās.</w:t>
      </w:r>
    </w:p>
    <w:p w14:paraId="56A35BE4" w14:textId="77777777" w:rsidR="002B56AC" w:rsidRDefault="002B56AC">
      <w:pPr>
        <w:pStyle w:val="Parasts"/>
        <w:jc w:val="both"/>
      </w:pPr>
    </w:p>
    <w:p w14:paraId="54091ED5" w14:textId="77777777" w:rsidR="002B56AC" w:rsidRDefault="004816FC">
      <w:pPr>
        <w:pStyle w:val="Sarakstarindkopa"/>
        <w:numPr>
          <w:ilvl w:val="0"/>
          <w:numId w:val="1"/>
        </w:numPr>
        <w:jc w:val="both"/>
        <w:rPr>
          <w:b/>
          <w:bCs/>
          <w:sz w:val="28"/>
          <w:szCs w:val="28"/>
        </w:rPr>
      </w:pPr>
      <w:r>
        <w:rPr>
          <w:b/>
          <w:bCs/>
          <w:sz w:val="28"/>
          <w:szCs w:val="28"/>
        </w:rPr>
        <w:t>No saņemtajiem iesniegumiem/sūdzībām uzsāktas 48 administratīvā pārkāpuma lietas par fizisku un/vai emocionālu vardarbību pret bērnu no iestāžu darbinieku puses, no tām:</w:t>
      </w:r>
    </w:p>
    <w:p w14:paraId="7CF0A585" w14:textId="77777777" w:rsidR="002B56AC" w:rsidRDefault="004816FC">
      <w:pPr>
        <w:pStyle w:val="Sarakstarindkopa"/>
        <w:numPr>
          <w:ilvl w:val="0"/>
          <w:numId w:val="3"/>
        </w:numPr>
        <w:jc w:val="both"/>
      </w:pPr>
      <w:r>
        <w:t xml:space="preserve">1 deju kolektīvā; </w:t>
      </w:r>
    </w:p>
    <w:p w14:paraId="370ADED8" w14:textId="77777777" w:rsidR="002B56AC" w:rsidRDefault="004816FC">
      <w:pPr>
        <w:pStyle w:val="Sarakstarindkopa"/>
        <w:numPr>
          <w:ilvl w:val="0"/>
          <w:numId w:val="3"/>
        </w:numPr>
        <w:jc w:val="both"/>
      </w:pPr>
      <w:r>
        <w:t xml:space="preserve">22 pirmsskolas izglītības iestādēs; </w:t>
      </w:r>
    </w:p>
    <w:p w14:paraId="3713E44E" w14:textId="77777777" w:rsidR="002B56AC" w:rsidRDefault="004816FC">
      <w:pPr>
        <w:pStyle w:val="Sarakstarindkopa"/>
        <w:numPr>
          <w:ilvl w:val="0"/>
          <w:numId w:val="3"/>
        </w:numPr>
        <w:jc w:val="both"/>
      </w:pPr>
      <w:r>
        <w:t>24 skolās ( tai skatā 1 profesionālās izglītības skolā);</w:t>
      </w:r>
    </w:p>
    <w:p w14:paraId="112A4407" w14:textId="77777777" w:rsidR="002B56AC" w:rsidRDefault="004816FC">
      <w:pPr>
        <w:pStyle w:val="Sarakstarindkopa"/>
        <w:numPr>
          <w:ilvl w:val="0"/>
          <w:numId w:val="3"/>
        </w:numPr>
        <w:jc w:val="both"/>
      </w:pPr>
      <w:r>
        <w:t>1 Sociālo pakalpojumu centrā.</w:t>
      </w:r>
    </w:p>
    <w:p w14:paraId="1D808328" w14:textId="77777777" w:rsidR="002B56AC" w:rsidRDefault="002B56AC">
      <w:pPr>
        <w:pStyle w:val="Parasts"/>
        <w:jc w:val="both"/>
      </w:pPr>
    </w:p>
    <w:p w14:paraId="66345B5D" w14:textId="77777777" w:rsidR="002B56AC" w:rsidRDefault="002B56AC">
      <w:pPr>
        <w:pStyle w:val="Parasts"/>
        <w:jc w:val="both"/>
      </w:pPr>
    </w:p>
    <w:p w14:paraId="01A1E3B8" w14:textId="77777777" w:rsidR="002B56AC" w:rsidRDefault="004816FC">
      <w:pPr>
        <w:pStyle w:val="Parasts"/>
        <w:ind w:firstLine="720"/>
        <w:jc w:val="both"/>
      </w:pPr>
      <w:r>
        <w:lastRenderedPageBreak/>
        <w:t>Sods piemērots 29 lietās, no tām:</w:t>
      </w:r>
    </w:p>
    <w:p w14:paraId="3AA9B0A8" w14:textId="77777777" w:rsidR="002B56AC" w:rsidRDefault="004816FC">
      <w:pPr>
        <w:pStyle w:val="Sarakstarindkopa"/>
        <w:numPr>
          <w:ilvl w:val="0"/>
          <w:numId w:val="3"/>
        </w:numPr>
        <w:jc w:val="both"/>
      </w:pPr>
      <w:r>
        <w:t xml:space="preserve">7 brīdinājumi; </w:t>
      </w:r>
    </w:p>
    <w:p w14:paraId="1AEAFA52" w14:textId="77777777" w:rsidR="002B56AC" w:rsidRDefault="004816FC">
      <w:pPr>
        <w:pStyle w:val="Sarakstarindkopa"/>
        <w:numPr>
          <w:ilvl w:val="0"/>
          <w:numId w:val="3"/>
        </w:numPr>
        <w:jc w:val="both"/>
      </w:pPr>
      <w:r>
        <w:t xml:space="preserve">22 naudas sodi. </w:t>
      </w:r>
    </w:p>
    <w:p w14:paraId="4391E033" w14:textId="77777777" w:rsidR="002B56AC" w:rsidRDefault="002B56AC">
      <w:pPr>
        <w:pStyle w:val="Sarakstarindkopa"/>
        <w:ind w:left="1080"/>
        <w:jc w:val="both"/>
      </w:pPr>
    </w:p>
    <w:p w14:paraId="4E52D826" w14:textId="77777777" w:rsidR="002B56AC" w:rsidRDefault="004816FC">
      <w:pPr>
        <w:pStyle w:val="Sarakstarindkopa"/>
        <w:numPr>
          <w:ilvl w:val="0"/>
          <w:numId w:val="4"/>
        </w:numPr>
        <w:jc w:val="both"/>
      </w:pPr>
      <w:r>
        <w:t xml:space="preserve">administratīvā pārkāpuma lietās notiek apstākļu noskaidrošana. </w:t>
      </w:r>
    </w:p>
    <w:p w14:paraId="5B3AF88E" w14:textId="77777777" w:rsidR="002B56AC" w:rsidRDefault="004816FC">
      <w:pPr>
        <w:pStyle w:val="Parasts"/>
        <w:ind w:left="360" w:firstLine="720"/>
        <w:jc w:val="both"/>
      </w:pPr>
      <w:r>
        <w:t>11 administratīvā pārkāpuma lietas izbeigtas.</w:t>
      </w:r>
    </w:p>
    <w:p w14:paraId="005E35C2" w14:textId="77777777" w:rsidR="002B56AC" w:rsidRDefault="004816FC">
      <w:pPr>
        <w:pStyle w:val="Parasts"/>
        <w:ind w:left="360" w:firstLine="720"/>
        <w:jc w:val="both"/>
      </w:pPr>
      <w:r>
        <w:t>1 administratīvā lietā izteikts mutvārdu aizrādījums.</w:t>
      </w:r>
    </w:p>
    <w:p w14:paraId="3941029B" w14:textId="77777777" w:rsidR="002B56AC" w:rsidRDefault="002B56AC">
      <w:pPr>
        <w:pStyle w:val="Parasts"/>
        <w:jc w:val="both"/>
      </w:pPr>
    </w:p>
    <w:p w14:paraId="0E0DD7D1" w14:textId="77777777" w:rsidR="002B56AC" w:rsidRDefault="004816FC">
      <w:pPr>
        <w:pStyle w:val="Sarakstarindkopa"/>
        <w:numPr>
          <w:ilvl w:val="0"/>
          <w:numId w:val="1"/>
        </w:numPr>
        <w:jc w:val="both"/>
        <w:rPr>
          <w:b/>
          <w:sz w:val="28"/>
          <w:szCs w:val="28"/>
        </w:rPr>
      </w:pPr>
      <w:r>
        <w:rPr>
          <w:b/>
          <w:sz w:val="28"/>
          <w:szCs w:val="28"/>
        </w:rPr>
        <w:t>Dokumentu aprite:</w:t>
      </w:r>
      <w:r>
        <w:rPr>
          <w:b/>
          <w:sz w:val="28"/>
          <w:szCs w:val="28"/>
        </w:rPr>
        <w:tab/>
      </w:r>
    </w:p>
    <w:p w14:paraId="441D372E" w14:textId="77777777" w:rsidR="002B56AC" w:rsidRDefault="004816FC">
      <w:pPr>
        <w:pStyle w:val="Parasts"/>
        <w:ind w:firstLine="720"/>
        <w:jc w:val="both"/>
      </w:pPr>
      <w:r>
        <w:t>- saņemti 1073 dokumenti;</w:t>
      </w:r>
    </w:p>
    <w:p w14:paraId="2FDAB9C7" w14:textId="77777777" w:rsidR="002B56AC" w:rsidRDefault="004816FC">
      <w:pPr>
        <w:pStyle w:val="Parasts"/>
        <w:ind w:firstLine="720"/>
        <w:jc w:val="both"/>
      </w:pPr>
      <w:r>
        <w:t>- nosūtīti 1926 dokumenti.</w:t>
      </w:r>
    </w:p>
    <w:p w14:paraId="7515C781" w14:textId="77777777" w:rsidR="002B56AC" w:rsidRDefault="002B56AC">
      <w:pPr>
        <w:pStyle w:val="Parasts"/>
        <w:ind w:firstLine="720"/>
        <w:jc w:val="both"/>
        <w:rPr>
          <w:b/>
          <w:bCs/>
          <w:sz w:val="28"/>
          <w:szCs w:val="28"/>
        </w:rPr>
      </w:pPr>
    </w:p>
    <w:p w14:paraId="5F939340" w14:textId="77777777" w:rsidR="002B56AC" w:rsidRDefault="004816FC">
      <w:pPr>
        <w:pStyle w:val="Sarakstarindkopa"/>
        <w:numPr>
          <w:ilvl w:val="0"/>
          <w:numId w:val="1"/>
        </w:numPr>
        <w:jc w:val="both"/>
        <w:rPr>
          <w:b/>
          <w:bCs/>
          <w:sz w:val="28"/>
          <w:szCs w:val="28"/>
        </w:rPr>
      </w:pPr>
      <w:r>
        <w:rPr>
          <w:b/>
          <w:bCs/>
          <w:sz w:val="28"/>
          <w:szCs w:val="28"/>
        </w:rPr>
        <w:t xml:space="preserve">12 </w:t>
      </w:r>
      <w:proofErr w:type="spellStart"/>
      <w:r>
        <w:rPr>
          <w:b/>
          <w:bCs/>
          <w:sz w:val="28"/>
          <w:szCs w:val="28"/>
        </w:rPr>
        <w:t>ārpusģimenes</w:t>
      </w:r>
      <w:proofErr w:type="spellEnd"/>
      <w:r>
        <w:rPr>
          <w:b/>
          <w:bCs/>
          <w:sz w:val="28"/>
          <w:szCs w:val="28"/>
        </w:rPr>
        <w:t xml:space="preserve"> aprūpes iestādēs kopā pārbaudītas 235 personu lietas, no tām:</w:t>
      </w:r>
    </w:p>
    <w:p w14:paraId="3B84F3F7" w14:textId="77777777" w:rsidR="002B56AC" w:rsidRDefault="004816FC">
      <w:pPr>
        <w:pStyle w:val="Sarakstarindkopa"/>
        <w:numPr>
          <w:ilvl w:val="0"/>
          <w:numId w:val="3"/>
        </w:numPr>
        <w:jc w:val="both"/>
      </w:pPr>
      <w:r>
        <w:t>117 klātienē;</w:t>
      </w:r>
    </w:p>
    <w:p w14:paraId="76900BEA" w14:textId="77777777" w:rsidR="002B56AC" w:rsidRDefault="004816FC">
      <w:pPr>
        <w:pStyle w:val="Sarakstarindkopa"/>
        <w:numPr>
          <w:ilvl w:val="0"/>
          <w:numId w:val="3"/>
        </w:numPr>
        <w:jc w:val="both"/>
      </w:pPr>
      <w:r>
        <w:t>118 rakstiskā procesā.</w:t>
      </w:r>
    </w:p>
    <w:p w14:paraId="0F261143" w14:textId="77777777" w:rsidR="002B56AC" w:rsidRDefault="002B56AC">
      <w:pPr>
        <w:pStyle w:val="Parasts"/>
        <w:jc w:val="both"/>
        <w:rPr>
          <w:b/>
          <w:bCs/>
          <w:sz w:val="28"/>
          <w:szCs w:val="28"/>
        </w:rPr>
      </w:pPr>
    </w:p>
    <w:p w14:paraId="4270F78E" w14:textId="77777777" w:rsidR="002B56AC" w:rsidRDefault="004816FC">
      <w:pPr>
        <w:pStyle w:val="Parasts"/>
        <w:ind w:firstLine="720"/>
        <w:jc w:val="both"/>
        <w:rPr>
          <w:b/>
          <w:bCs/>
          <w:sz w:val="28"/>
          <w:szCs w:val="28"/>
        </w:rPr>
      </w:pPr>
      <w:r>
        <w:rPr>
          <w:b/>
          <w:bCs/>
          <w:sz w:val="28"/>
          <w:szCs w:val="28"/>
        </w:rPr>
        <w:t xml:space="preserve">5. Sniegtas 737 konsultācijas fiziskām un juridiskām personām, no tām: </w:t>
      </w:r>
    </w:p>
    <w:p w14:paraId="02D5CF9E" w14:textId="77777777" w:rsidR="002B56AC" w:rsidRDefault="004816FC">
      <w:pPr>
        <w:pStyle w:val="Parasts"/>
        <w:ind w:firstLine="720"/>
        <w:jc w:val="both"/>
      </w:pPr>
      <w:r>
        <w:t>- 40 konsultācijas klātienē;</w:t>
      </w:r>
    </w:p>
    <w:p w14:paraId="5F8A8962" w14:textId="77777777" w:rsidR="002B56AC" w:rsidRDefault="004816FC">
      <w:pPr>
        <w:pStyle w:val="Parasts"/>
        <w:ind w:firstLine="720"/>
        <w:jc w:val="both"/>
      </w:pPr>
      <w:r>
        <w:t>- 697 telefona un e-pasta konsultācijas.</w:t>
      </w:r>
    </w:p>
    <w:p w14:paraId="60C55C27" w14:textId="77777777" w:rsidR="002B56AC" w:rsidRDefault="004816FC">
      <w:pPr>
        <w:pStyle w:val="Parasts"/>
        <w:tabs>
          <w:tab w:val="left" w:pos="8115"/>
        </w:tabs>
        <w:jc w:val="both"/>
      </w:pPr>
      <w:r>
        <w:tab/>
      </w:r>
    </w:p>
    <w:p w14:paraId="0E6D3610" w14:textId="77777777" w:rsidR="002B56AC" w:rsidRDefault="004816FC">
      <w:pPr>
        <w:pStyle w:val="Parasts"/>
        <w:ind w:left="720"/>
        <w:jc w:val="both"/>
      </w:pPr>
      <w:r>
        <w:t xml:space="preserve">Bērnu tiesību aizsardzības departamenta pārstāvji piedalījušies 94 </w:t>
      </w:r>
      <w:proofErr w:type="spellStart"/>
      <w:r>
        <w:t>starpinstitucionālajās</w:t>
      </w:r>
      <w:proofErr w:type="spellEnd"/>
      <w:r>
        <w:t xml:space="preserve"> sanāksmēs kopīgi ar citām institūcijām (Bāriņtiesas, policijas, krīzes centra, Rīgas pašvaldības Bērnu un jauniešu centra u.c. pārstāvjiem) risinot jautājumus un plānojot iespējamos sadarbības variantus, lai novērstu riskus saistībā ar iespējamiem bērnu tiesību pārkāpumiem, tai skaitā semināros, lekcijās, konferencēs, forumos un </w:t>
      </w:r>
      <w:proofErr w:type="spellStart"/>
      <w:r>
        <w:t>supervīzijās</w:t>
      </w:r>
      <w:proofErr w:type="spellEnd"/>
      <w:r>
        <w:t>.</w:t>
      </w:r>
    </w:p>
    <w:sectPr w:rsidR="002B56AC">
      <w:pgSz w:w="16838" w:h="11906" w:orient="landscape"/>
      <w:pgMar w:top="992" w:right="709" w:bottom="992"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76A69" w14:textId="77777777" w:rsidR="00D539E0" w:rsidRDefault="00D539E0">
      <w:pPr>
        <w:spacing w:after="0"/>
      </w:pPr>
      <w:r>
        <w:separator/>
      </w:r>
    </w:p>
  </w:endnote>
  <w:endnote w:type="continuationSeparator" w:id="0">
    <w:p w14:paraId="3BD8EE09" w14:textId="77777777" w:rsidR="00D539E0" w:rsidRDefault="00D539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A7DE0" w14:textId="77777777" w:rsidR="00D539E0" w:rsidRDefault="00D539E0">
      <w:pPr>
        <w:spacing w:after="0"/>
      </w:pPr>
      <w:r>
        <w:rPr>
          <w:color w:val="000000"/>
        </w:rPr>
        <w:separator/>
      </w:r>
    </w:p>
  </w:footnote>
  <w:footnote w:type="continuationSeparator" w:id="0">
    <w:p w14:paraId="3E038593" w14:textId="77777777" w:rsidR="00D539E0" w:rsidRDefault="00D539E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F5D22"/>
    <w:multiLevelType w:val="multilevel"/>
    <w:tmpl w:val="748243FC"/>
    <w:lvl w:ilvl="0">
      <w:numFmt w:val="bullet"/>
      <w:lvlText w:val="-"/>
      <w:lvlJc w:val="left"/>
      <w:pPr>
        <w:ind w:left="1080" w:hanging="360"/>
      </w:pPr>
      <w:rPr>
        <w:rFonts w:ascii="Calibri" w:eastAsia="Calibri" w:hAnsi="Calibri"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175F4374"/>
    <w:multiLevelType w:val="multilevel"/>
    <w:tmpl w:val="1864FEB6"/>
    <w:lvl w:ilvl="0">
      <w:numFmt w:val="bullet"/>
      <w:lvlText w:val="-"/>
      <w:lvlJc w:val="left"/>
      <w:pPr>
        <w:ind w:left="1080" w:hanging="360"/>
      </w:pPr>
      <w:rPr>
        <w:rFonts w:ascii="Calibri" w:eastAsia="Calibri" w:hAnsi="Calibri"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66661468"/>
    <w:multiLevelType w:val="multilevel"/>
    <w:tmpl w:val="3D4AA736"/>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70333442"/>
    <w:multiLevelType w:val="multilevel"/>
    <w:tmpl w:val="0AFA9120"/>
    <w:lvl w:ilvl="0">
      <w:start w:val="7"/>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6AC"/>
    <w:rsid w:val="002B56AC"/>
    <w:rsid w:val="004816FC"/>
    <w:rsid w:val="00B74254"/>
    <w:rsid w:val="00D539E0"/>
    <w:rsid w:val="00F922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1137B"/>
  <w15:docId w15:val="{2804D0CA-A263-4F5F-B3C1-7CB04570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lv-LV"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sts">
    <w:name w:val="Parasts"/>
    <w:pPr>
      <w:suppressAutoHyphens/>
    </w:pPr>
  </w:style>
  <w:style w:type="character" w:customStyle="1" w:styleId="Noklusjumarindkopasfonts">
    <w:name w:val="Noklusējuma rindkopas fonts"/>
  </w:style>
  <w:style w:type="paragraph" w:customStyle="1" w:styleId="Sarakstarindkopa">
    <w:name w:val="Saraksta rindkopa"/>
    <w:basedOn w:val="Parasts"/>
    <w:pPr>
      <w:ind w:left="720"/>
    </w:pPr>
  </w:style>
  <w:style w:type="paragraph" w:customStyle="1" w:styleId="Bezatstarpm">
    <w:name w:val="Bez atstarpēm"/>
    <w:pPr>
      <w:suppressAutoHyphens/>
      <w:spacing w:after="0"/>
    </w:pPr>
  </w:style>
  <w:style w:type="paragraph" w:customStyle="1" w:styleId="Balonteksts">
    <w:name w:val="Balonteksts"/>
    <w:basedOn w:val="Parasts"/>
    <w:pPr>
      <w:spacing w:after="0"/>
    </w:pPr>
    <w:rPr>
      <w:rFonts w:ascii="Segoe UI" w:hAnsi="Segoe UI" w:cs="Segoe UI"/>
      <w:sz w:val="18"/>
      <w:szCs w:val="18"/>
    </w:rPr>
  </w:style>
  <w:style w:type="character" w:customStyle="1" w:styleId="BalloonTextChar">
    <w:name w:val="Balloon Text Char"/>
    <w:basedOn w:val="Noklusjumarindkopasfonts"/>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2101</Words>
  <Characters>1198</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Tikiņa</dc:creator>
  <dc:description/>
  <cp:lastModifiedBy>Gunta Klismeta</cp:lastModifiedBy>
  <cp:revision>2</cp:revision>
  <cp:lastPrinted>2020-10-05T12:06:00Z</cp:lastPrinted>
  <dcterms:created xsi:type="dcterms:W3CDTF">2021-01-26T14:56:00Z</dcterms:created>
  <dcterms:modified xsi:type="dcterms:W3CDTF">2021-01-26T14:56:00Z</dcterms:modified>
</cp:coreProperties>
</file>