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8D423" w14:textId="77777777" w:rsidR="00854659" w:rsidRPr="00C677E8" w:rsidRDefault="00854659" w:rsidP="00C42DBE">
      <w:pPr>
        <w:spacing w:after="0" w:line="240" w:lineRule="auto"/>
        <w:rPr>
          <w:rFonts w:ascii="Cambria Math" w:hAnsi="Cambria Math" w:cs="Calibri"/>
          <w:color w:val="1F497D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548"/>
      </w:tblGrid>
      <w:tr w:rsidR="00C52695" w:rsidRPr="00C677E8" w14:paraId="04CF5B35" w14:textId="77777777" w:rsidTr="00076032">
        <w:trPr>
          <w:trHeight w:val="63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4589" w14:textId="77777777" w:rsidR="00C52695" w:rsidRDefault="00C52695" w:rsidP="00C52695">
            <w:pPr>
              <w:rPr>
                <w:rFonts w:ascii="Calibri" w:hAnsi="Calibri" w:cs="Calibri"/>
                <w:color w:val="1F497D"/>
                <w:lang w:val="de-DE"/>
              </w:rPr>
            </w:pPr>
            <w:bookmarkStart w:id="0" w:name="_Hlk55229968"/>
            <w:r>
              <w:rPr>
                <w:rFonts w:ascii="Calibri" w:hAnsi="Calibri" w:cs="Calibri"/>
                <w:color w:val="1F497D"/>
                <w:lang w:val="de-DE"/>
              </w:rPr>
              <w:t>Name</w:t>
            </w:r>
          </w:p>
          <w:p w14:paraId="50C89CBD" w14:textId="4C998CAF" w:rsidR="00C52695" w:rsidRPr="00C677E8" w:rsidRDefault="00C52695" w:rsidP="00C52695">
            <w:pPr>
              <w:rPr>
                <w:rFonts w:ascii="Cambria Math" w:hAnsi="Cambria Math" w:cs="Calibri"/>
                <w:color w:val="1F497D"/>
                <w:lang w:val="de-DE"/>
              </w:rPr>
            </w:pPr>
            <w:proofErr w:type="spellStart"/>
            <w:r>
              <w:rPr>
                <w:rFonts w:ascii="Calibri" w:hAnsi="Calibri" w:cs="Calibri"/>
                <w:bCs/>
                <w:color w:val="1F497D"/>
                <w:lang w:val="de-DE"/>
              </w:rPr>
              <w:t>of</w:t>
            </w:r>
            <w:proofErr w:type="spellEnd"/>
            <w:r>
              <w:rPr>
                <w:rFonts w:ascii="Calibri" w:hAnsi="Calibri" w:cs="Calibri"/>
                <w:bCs/>
                <w:color w:val="1F497D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1F497D"/>
                <w:lang w:val="de-DE"/>
              </w:rPr>
              <w:t>Municipality</w:t>
            </w:r>
            <w:proofErr w:type="spellEnd"/>
          </w:p>
        </w:tc>
        <w:tc>
          <w:tcPr>
            <w:tcW w:w="6548" w:type="dxa"/>
          </w:tcPr>
          <w:p w14:paraId="3B31E949" w14:textId="60997DF2" w:rsidR="00C52695" w:rsidRPr="00C677E8" w:rsidRDefault="00C52695" w:rsidP="00C52695">
            <w:pPr>
              <w:jc w:val="both"/>
              <w:rPr>
                <w:rFonts w:ascii="Cambria Math" w:hAnsi="Cambria Math" w:cs="Calibri"/>
                <w:bCs/>
                <w:color w:val="1F497D"/>
              </w:rPr>
            </w:pPr>
            <w:proofErr w:type="spellStart"/>
            <w:r w:rsidRPr="00C677E8">
              <w:rPr>
                <w:rFonts w:ascii="Cambria Math" w:hAnsi="Cambria Math" w:cs="Calibri"/>
                <w:bCs/>
                <w:color w:val="1F497D"/>
              </w:rPr>
              <w:t>Podilsk</w:t>
            </w:r>
            <w:proofErr w:type="spellEnd"/>
            <w:r w:rsidRPr="00C677E8">
              <w:rPr>
                <w:rFonts w:ascii="Cambria Math" w:hAnsi="Cambria Math" w:cs="Calibri"/>
                <w:bCs/>
                <w:color w:val="1F497D"/>
              </w:rPr>
              <w:t xml:space="preserve"> City Territorial Community</w:t>
            </w:r>
          </w:p>
        </w:tc>
      </w:tr>
      <w:tr w:rsidR="00C52695" w:rsidRPr="00C677E8" w14:paraId="21A2C4D3" w14:textId="77777777" w:rsidTr="00076032">
        <w:trPr>
          <w:trHeight w:val="16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6A6B" w14:textId="3A0B872E" w:rsidR="00C52695" w:rsidRPr="00C677E8" w:rsidRDefault="00C52695" w:rsidP="00C52695">
            <w:pPr>
              <w:rPr>
                <w:rFonts w:ascii="Cambria Math" w:hAnsi="Cambria Math" w:cs="Calibri"/>
                <w:color w:val="1F497D"/>
                <w:lang w:val="de-DE"/>
              </w:rPr>
            </w:pPr>
            <w:r>
              <w:rPr>
                <w:rFonts w:ascii="Calibri" w:hAnsi="Calibri" w:cs="Calibri"/>
                <w:color w:val="1F497D"/>
                <w:lang w:val="de-DE"/>
              </w:rPr>
              <w:t>Mayor</w:t>
            </w:r>
          </w:p>
        </w:tc>
        <w:tc>
          <w:tcPr>
            <w:tcW w:w="6548" w:type="dxa"/>
          </w:tcPr>
          <w:p w14:paraId="031A43AC" w14:textId="7A3BFB1D" w:rsidR="00C52695" w:rsidRPr="00C677E8" w:rsidRDefault="00C52695" w:rsidP="00C52695">
            <w:pPr>
              <w:jc w:val="both"/>
              <w:rPr>
                <w:rFonts w:ascii="Cambria Math" w:hAnsi="Cambria Math" w:cs="Calibri"/>
                <w:bCs/>
                <w:color w:val="1F497D"/>
                <w:lang w:val="de-DE"/>
              </w:rPr>
            </w:pPr>
            <w:r w:rsidRPr="00C677E8">
              <w:rPr>
                <w:rFonts w:ascii="Cambria Math" w:hAnsi="Cambria Math" w:cs="Calibri"/>
                <w:bCs/>
                <w:color w:val="1F497D"/>
                <w:lang w:val="de-DE"/>
              </w:rPr>
              <w:t xml:space="preserve">Oleg </w:t>
            </w:r>
            <w:proofErr w:type="spellStart"/>
            <w:r w:rsidRPr="00C677E8">
              <w:rPr>
                <w:rFonts w:ascii="Cambria Math" w:hAnsi="Cambria Math" w:cs="Calibri"/>
                <w:bCs/>
                <w:color w:val="1F497D"/>
                <w:lang w:val="de-DE"/>
              </w:rPr>
              <w:t>Albanskyi</w:t>
            </w:r>
            <w:proofErr w:type="spellEnd"/>
          </w:p>
        </w:tc>
      </w:tr>
      <w:tr w:rsidR="00C52695" w:rsidRPr="00C677E8" w14:paraId="45F9EE8C" w14:textId="77777777" w:rsidTr="00076032">
        <w:trPr>
          <w:trHeight w:val="81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B0E2" w14:textId="2E28B8AC" w:rsidR="00C52695" w:rsidRPr="00C677E8" w:rsidRDefault="00C52695" w:rsidP="00C52695">
            <w:pPr>
              <w:rPr>
                <w:rFonts w:ascii="Cambria Math" w:hAnsi="Cambria Math" w:cs="Calibri"/>
                <w:color w:val="1F497D"/>
                <w:lang w:val="de-DE"/>
              </w:rPr>
            </w:pPr>
            <w:r>
              <w:rPr>
                <w:rFonts w:ascii="Calibri" w:hAnsi="Calibri" w:cs="Calibri"/>
                <w:color w:val="1F497D"/>
                <w:lang w:val="de-DE"/>
              </w:rPr>
              <w:t>Location</w:t>
            </w:r>
          </w:p>
        </w:tc>
        <w:tc>
          <w:tcPr>
            <w:tcW w:w="6548" w:type="dxa"/>
          </w:tcPr>
          <w:p w14:paraId="1EDE01DB" w14:textId="02B27471" w:rsidR="00C52695" w:rsidRPr="00C677E8" w:rsidRDefault="00C52695" w:rsidP="00C52695">
            <w:pPr>
              <w:jc w:val="both"/>
              <w:rPr>
                <w:rFonts w:ascii="Cambria Math" w:hAnsi="Cambria Math" w:cs="Calibri"/>
                <w:color w:val="1F497D"/>
                <w:lang w:val="de-DE"/>
              </w:rPr>
            </w:pPr>
            <w:r>
              <w:rPr>
                <w:rFonts w:ascii="Cambria Math" w:hAnsi="Cambria Math" w:cs="Calibri"/>
                <w:color w:val="1F497D"/>
                <w:lang w:val="de-DE"/>
              </w:rPr>
              <w:t xml:space="preserve">Ukraine, </w:t>
            </w:r>
            <w:proofErr w:type="spellStart"/>
            <w:r>
              <w:rPr>
                <w:rFonts w:ascii="Cambria Math" w:hAnsi="Cambria Math" w:cs="Calibri"/>
                <w:color w:val="1F497D"/>
                <w:lang w:val="de-DE"/>
              </w:rPr>
              <w:t>Odesa</w:t>
            </w:r>
            <w:proofErr w:type="spellEnd"/>
            <w:r>
              <w:rPr>
                <w:rFonts w:ascii="Cambria Math" w:hAnsi="Cambria Math" w:cs="Calibri"/>
                <w:color w:val="1F497D"/>
                <w:lang w:val="de-DE"/>
              </w:rPr>
              <w:t xml:space="preserve"> Region</w:t>
            </w:r>
          </w:p>
        </w:tc>
      </w:tr>
      <w:tr w:rsidR="00C52695" w:rsidRPr="00C677E8" w14:paraId="4CD8FFA3" w14:textId="77777777" w:rsidTr="0007603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4F59" w14:textId="47957223" w:rsidR="00C52695" w:rsidRPr="00C677E8" w:rsidRDefault="00C52695" w:rsidP="00C52695">
            <w:pPr>
              <w:rPr>
                <w:rFonts w:ascii="Cambria Math" w:hAnsi="Cambria Math" w:cs="Calibri"/>
                <w:color w:val="1F497D"/>
                <w:lang w:val="de-DE"/>
              </w:rPr>
            </w:pPr>
            <w:r>
              <w:rPr>
                <w:rFonts w:ascii="Calibri" w:hAnsi="Calibri" w:cs="Calibri"/>
                <w:color w:val="1F497D"/>
                <w:lang w:val="de-DE"/>
              </w:rPr>
              <w:t>Population</w:t>
            </w:r>
          </w:p>
        </w:tc>
        <w:tc>
          <w:tcPr>
            <w:tcW w:w="6548" w:type="dxa"/>
          </w:tcPr>
          <w:p w14:paraId="7370B0B3" w14:textId="3281A4D3" w:rsidR="00C52695" w:rsidRDefault="00C52695" w:rsidP="00C52695">
            <w:pPr>
              <w:jc w:val="both"/>
              <w:rPr>
                <w:rFonts w:ascii="Cambria Math" w:hAnsi="Cambria Math" w:cs="Calibri"/>
                <w:color w:val="1F497D"/>
              </w:rPr>
            </w:pPr>
            <w:r>
              <w:rPr>
                <w:rFonts w:ascii="Cambria Math" w:hAnsi="Cambria Math" w:cs="Calibri"/>
                <w:color w:val="1F497D"/>
                <w:lang w:val="de-DE"/>
              </w:rPr>
              <w:t xml:space="preserve">As </w:t>
            </w:r>
            <w:proofErr w:type="spellStart"/>
            <w:r>
              <w:rPr>
                <w:rFonts w:ascii="Cambria Math" w:hAnsi="Cambria Math" w:cs="Calibri"/>
                <w:color w:val="1F497D"/>
                <w:lang w:val="de-DE"/>
              </w:rPr>
              <w:t>of</w:t>
            </w:r>
            <w:proofErr w:type="spellEnd"/>
            <w:r>
              <w:rPr>
                <w:rFonts w:ascii="Cambria Math" w:hAnsi="Cambria Math" w:cs="Calibri"/>
                <w:color w:val="1F497D"/>
                <w:lang w:val="de-DE"/>
              </w:rPr>
              <w:t xml:space="preserve"> 01.01.2021, </w:t>
            </w:r>
            <w:proofErr w:type="spellStart"/>
            <w:r>
              <w:rPr>
                <w:rFonts w:ascii="Cambria Math" w:hAnsi="Cambria Math" w:cs="Calibri"/>
                <w:color w:val="1F497D"/>
                <w:lang w:val="de-DE"/>
              </w:rPr>
              <w:t>there</w:t>
            </w:r>
            <w:proofErr w:type="spellEnd"/>
            <w:r>
              <w:rPr>
                <w:rFonts w:ascii="Cambria Math" w:hAnsi="Cambria Math" w:cs="Calibri"/>
                <w:color w:val="1F497D"/>
                <w:lang w:val="de-DE"/>
              </w:rPr>
              <w:t xml:space="preserve"> </w:t>
            </w:r>
            <w:proofErr w:type="spellStart"/>
            <w:r>
              <w:rPr>
                <w:rFonts w:ascii="Cambria Math" w:hAnsi="Cambria Math" w:cs="Calibri"/>
                <w:color w:val="1F497D"/>
                <w:lang w:val="de-DE"/>
              </w:rPr>
              <w:t>are</w:t>
            </w:r>
            <w:proofErr w:type="spellEnd"/>
            <w:r>
              <w:rPr>
                <w:rFonts w:ascii="Cambria Math" w:hAnsi="Cambria Math" w:cs="Calibri"/>
                <w:color w:val="1F497D"/>
                <w:lang w:val="de-DE"/>
              </w:rPr>
              <w:t xml:space="preserve"> </w:t>
            </w:r>
            <w:r w:rsidRPr="00C677E8">
              <w:rPr>
                <w:rFonts w:ascii="Cambria Math" w:hAnsi="Cambria Math" w:cs="Calibri"/>
                <w:color w:val="1F497D"/>
                <w:lang w:val="de-DE"/>
              </w:rPr>
              <w:t>42779</w:t>
            </w:r>
            <w:r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>
              <w:rPr>
                <w:rFonts w:ascii="Cambria Math" w:hAnsi="Cambria Math" w:cs="Calibri"/>
                <w:color w:val="1F497D"/>
                <w:lang w:val="uk-UA"/>
              </w:rPr>
              <w:t>persons</w:t>
            </w:r>
            <w:proofErr w:type="spellEnd"/>
            <w:r>
              <w:rPr>
                <w:rFonts w:ascii="Cambria Math" w:hAnsi="Cambria Math" w:cs="Calibri"/>
                <w:color w:val="1F497D"/>
                <w:lang w:val="uk-UA"/>
              </w:rPr>
              <w:t>.</w:t>
            </w:r>
          </w:p>
          <w:p w14:paraId="4F0EE645" w14:textId="73B7973C" w:rsidR="00C52695" w:rsidRPr="00C677E8" w:rsidRDefault="00C52695" w:rsidP="00C52695">
            <w:pPr>
              <w:jc w:val="both"/>
              <w:rPr>
                <w:rFonts w:ascii="Cambria Math" w:hAnsi="Cambria Math" w:cs="Calibri"/>
                <w:color w:val="1F497D"/>
                <w:lang w:val="de-DE"/>
              </w:rPr>
            </w:pPr>
            <w:r>
              <w:rPr>
                <w:rFonts w:ascii="Cambria Math" w:hAnsi="Cambria Math" w:cs="Calibri"/>
                <w:color w:val="1F497D"/>
              </w:rPr>
              <w:t>T</w:t>
            </w:r>
            <w:r w:rsidRPr="00C677E8">
              <w:rPr>
                <w:rFonts w:ascii="Cambria Math" w:hAnsi="Cambria Math" w:cs="Calibri"/>
                <w:color w:val="1F497D"/>
              </w:rPr>
              <w:t xml:space="preserve">he population of the working age in the community consists </w:t>
            </w:r>
            <w:r>
              <w:rPr>
                <w:rFonts w:ascii="Cambria Math" w:hAnsi="Cambria Math" w:cs="Calibri"/>
                <w:color w:val="1F497D"/>
              </w:rPr>
              <w:t xml:space="preserve">of </w:t>
            </w:r>
            <w:r w:rsidRPr="00C677E8">
              <w:rPr>
                <w:rFonts w:ascii="Cambria Math" w:hAnsi="Cambria Math" w:cs="Calibri"/>
                <w:color w:val="1F497D"/>
              </w:rPr>
              <w:t>25,935 people.</w:t>
            </w:r>
          </w:p>
          <w:p w14:paraId="048DBEAF" w14:textId="35EA24F6" w:rsidR="00C52695" w:rsidRPr="00C677E8" w:rsidRDefault="00C52695" w:rsidP="00C52695">
            <w:pPr>
              <w:jc w:val="both"/>
              <w:rPr>
                <w:rFonts w:ascii="Cambria Math" w:hAnsi="Cambria Math" w:cs="Calibri"/>
                <w:color w:val="1F497D"/>
                <w:lang w:val="de-DE"/>
              </w:rPr>
            </w:pPr>
          </w:p>
        </w:tc>
      </w:tr>
      <w:tr w:rsidR="00C52695" w:rsidRPr="00C677E8" w14:paraId="2E717DF9" w14:textId="77777777" w:rsidTr="0007603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89BF" w14:textId="77777777" w:rsidR="00C52695" w:rsidRDefault="00C52695" w:rsidP="00C52695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 xml:space="preserve">Short overview </w:t>
            </w:r>
          </w:p>
          <w:p w14:paraId="38D946D8" w14:textId="77777777" w:rsidR="00C52695" w:rsidRDefault="00C52695" w:rsidP="00C52695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>(1-5 sentences)</w:t>
            </w:r>
          </w:p>
          <w:p w14:paraId="77197FA6" w14:textId="0ACF3D2F" w:rsidR="00C52695" w:rsidRPr="00C677E8" w:rsidRDefault="00C52695" w:rsidP="00C52695">
            <w:pPr>
              <w:jc w:val="center"/>
              <w:rPr>
                <w:rFonts w:ascii="Cambria Math" w:hAnsi="Cambria Math" w:cs="Calibri"/>
                <w:color w:val="1F497D"/>
              </w:rPr>
            </w:pPr>
          </w:p>
        </w:tc>
        <w:tc>
          <w:tcPr>
            <w:tcW w:w="6548" w:type="dxa"/>
          </w:tcPr>
          <w:p w14:paraId="21CA2C02" w14:textId="77777777" w:rsidR="00C52695" w:rsidRDefault="00C52695" w:rsidP="00C52695">
            <w:pPr>
              <w:jc w:val="both"/>
              <w:rPr>
                <w:rFonts w:ascii="Cambria Math" w:hAnsi="Cambria Math" w:cs="Calibri"/>
                <w:color w:val="1F497D"/>
              </w:rPr>
            </w:pPr>
            <w:proofErr w:type="spellStart"/>
            <w:r w:rsidRPr="00C677E8">
              <w:rPr>
                <w:rFonts w:ascii="Cambria Math" w:hAnsi="Cambria Math" w:cs="Calibri"/>
                <w:color w:val="1F497D"/>
              </w:rPr>
              <w:t>Podilsk</w:t>
            </w:r>
            <w:proofErr w:type="spellEnd"/>
            <w:r w:rsidRPr="00C677E8">
              <w:rPr>
                <w:rFonts w:ascii="Cambria Math" w:hAnsi="Cambria Math" w:cs="Calibri"/>
                <w:color w:val="1F497D"/>
              </w:rPr>
              <w:t xml:space="preserve"> city territorial community consists of the city of </w:t>
            </w:r>
            <w:proofErr w:type="spellStart"/>
            <w:r w:rsidRPr="00C677E8">
              <w:rPr>
                <w:rFonts w:ascii="Cambria Math" w:hAnsi="Cambria Math" w:cs="Calibri"/>
                <w:color w:val="1F497D"/>
              </w:rPr>
              <w:t>Podilsk</w:t>
            </w:r>
            <w:proofErr w:type="spellEnd"/>
            <w:r w:rsidRPr="00C677E8">
              <w:rPr>
                <w:rFonts w:ascii="Cambria Math" w:hAnsi="Cambria Math" w:cs="Calibri"/>
                <w:color w:val="1F497D"/>
              </w:rPr>
              <w:t xml:space="preserve"> and the villages of </w:t>
            </w:r>
            <w:proofErr w:type="spellStart"/>
            <w:r w:rsidRPr="00C677E8">
              <w:rPr>
                <w:rFonts w:ascii="Cambria Math" w:hAnsi="Cambria Math" w:cs="Calibri"/>
                <w:color w:val="1F497D"/>
              </w:rPr>
              <w:t>Lypetske</w:t>
            </w:r>
            <w:proofErr w:type="spellEnd"/>
            <w:r w:rsidRPr="00C677E8">
              <w:rPr>
                <w:rFonts w:ascii="Cambria Math" w:hAnsi="Cambria Math" w:cs="Calibri"/>
                <w:color w:val="1F497D"/>
              </w:rPr>
              <w:t xml:space="preserve">, </w:t>
            </w:r>
            <w:proofErr w:type="spellStart"/>
            <w:r w:rsidRPr="00C677E8">
              <w:rPr>
                <w:rFonts w:ascii="Cambria Math" w:hAnsi="Cambria Math" w:cs="Calibri"/>
                <w:color w:val="1F497D"/>
              </w:rPr>
              <w:t>Oleksandrivka</w:t>
            </w:r>
            <w:proofErr w:type="spellEnd"/>
            <w:r w:rsidRPr="00C677E8">
              <w:rPr>
                <w:rFonts w:ascii="Cambria Math" w:hAnsi="Cambria Math" w:cs="Calibri"/>
                <w:color w:val="1F497D"/>
              </w:rPr>
              <w:t xml:space="preserve"> and </w:t>
            </w:r>
            <w:proofErr w:type="spellStart"/>
            <w:r w:rsidRPr="00C677E8">
              <w:rPr>
                <w:rFonts w:ascii="Cambria Math" w:hAnsi="Cambria Math" w:cs="Calibri"/>
                <w:color w:val="1F497D"/>
              </w:rPr>
              <w:t>Kazbeky</w:t>
            </w:r>
            <w:proofErr w:type="spellEnd"/>
            <w:r w:rsidRPr="00C677E8">
              <w:rPr>
                <w:rFonts w:ascii="Cambria Math" w:hAnsi="Cambria Math" w:cs="Calibri"/>
                <w:color w:val="1F497D"/>
              </w:rPr>
              <w:t xml:space="preserve">. The total area of the community is 4,762.33 hectares. </w:t>
            </w:r>
          </w:p>
          <w:p w14:paraId="45925E2A" w14:textId="60867883" w:rsidR="00C52695" w:rsidRPr="00C677E8" w:rsidRDefault="00C52695" w:rsidP="00C52695">
            <w:pPr>
              <w:jc w:val="both"/>
              <w:rPr>
                <w:rFonts w:ascii="Cambria Math" w:hAnsi="Cambria Math" w:cs="Calibri"/>
                <w:color w:val="1F497D"/>
              </w:rPr>
            </w:pPr>
            <w:r w:rsidRPr="00C677E8">
              <w:rPr>
                <w:rFonts w:ascii="Cambria Math" w:hAnsi="Cambria Math" w:cs="Calibri"/>
                <w:color w:val="1F497D"/>
              </w:rPr>
              <w:t xml:space="preserve">The community has convenient transport connections. Thus, on the territory of the city of </w:t>
            </w:r>
            <w:proofErr w:type="spellStart"/>
            <w:r w:rsidRPr="00C677E8">
              <w:rPr>
                <w:rFonts w:ascii="Cambria Math" w:hAnsi="Cambria Math" w:cs="Calibri"/>
                <w:color w:val="1F497D"/>
              </w:rPr>
              <w:t>Podilsk</w:t>
            </w:r>
            <w:proofErr w:type="spellEnd"/>
            <w:r w:rsidRPr="00C677E8">
              <w:rPr>
                <w:rFonts w:ascii="Cambria Math" w:hAnsi="Cambria Math" w:cs="Calibri"/>
                <w:color w:val="1F497D"/>
              </w:rPr>
              <w:t xml:space="preserve"> there are: a railway station “</w:t>
            </w:r>
            <w:proofErr w:type="spellStart"/>
            <w:r w:rsidRPr="00C677E8">
              <w:rPr>
                <w:rFonts w:ascii="Cambria Math" w:hAnsi="Cambria Math" w:cs="Calibri"/>
                <w:color w:val="1F497D"/>
              </w:rPr>
              <w:t>Podilsk</w:t>
            </w:r>
            <w:proofErr w:type="spellEnd"/>
            <w:r w:rsidRPr="00C677E8">
              <w:rPr>
                <w:rFonts w:ascii="Cambria Math" w:hAnsi="Cambria Math" w:cs="Calibri"/>
                <w:color w:val="1F497D"/>
              </w:rPr>
              <w:t xml:space="preserve">”, a highway of regional importance R-33 which connects with highways of the international importance. The distance from the city of </w:t>
            </w:r>
            <w:proofErr w:type="spellStart"/>
            <w:r w:rsidRPr="00C677E8">
              <w:rPr>
                <w:rFonts w:ascii="Cambria Math" w:hAnsi="Cambria Math" w:cs="Calibri"/>
                <w:color w:val="1F497D"/>
              </w:rPr>
              <w:t>Podilsk</w:t>
            </w:r>
            <w:proofErr w:type="spellEnd"/>
            <w:r w:rsidRPr="00C677E8">
              <w:rPr>
                <w:rFonts w:ascii="Cambria Math" w:hAnsi="Cambria Math" w:cs="Calibri"/>
                <w:color w:val="1F497D"/>
              </w:rPr>
              <w:t xml:space="preserve"> to the State Enterprise “Odesa Sea Commercial Port” is 225 km, to the international airport “Odesa” – 196 km, to the airport “Chisinau” – 122 km.</w:t>
            </w:r>
          </w:p>
          <w:p w14:paraId="28430708" w14:textId="60054633" w:rsidR="00C52695" w:rsidRPr="00C677E8" w:rsidRDefault="00C52695" w:rsidP="00C52695">
            <w:pPr>
              <w:jc w:val="both"/>
              <w:rPr>
                <w:rFonts w:ascii="Cambria Math" w:hAnsi="Cambria Math" w:cs="Calibri"/>
                <w:color w:val="1F497D"/>
              </w:rPr>
            </w:pPr>
            <w:r w:rsidRPr="00C677E8">
              <w:rPr>
                <w:rFonts w:ascii="Cambria Math" w:hAnsi="Cambria Math" w:cs="Calibri"/>
                <w:color w:val="1F497D"/>
              </w:rPr>
              <w:t xml:space="preserve">On 24 February 2022, the first day of Russia's armed aggression against Ukraine, the </w:t>
            </w:r>
            <w:proofErr w:type="spellStart"/>
            <w:r w:rsidRPr="00C677E8">
              <w:rPr>
                <w:rFonts w:ascii="Cambria Math" w:hAnsi="Cambria Math" w:cs="Calibri"/>
                <w:color w:val="1F497D"/>
              </w:rPr>
              <w:t>Podilsk</w:t>
            </w:r>
            <w:proofErr w:type="spellEnd"/>
            <w:r w:rsidRPr="00C677E8">
              <w:rPr>
                <w:rFonts w:ascii="Cambria Math" w:hAnsi="Cambria Math" w:cs="Calibri"/>
                <w:color w:val="1F497D"/>
              </w:rPr>
              <w:t xml:space="preserve"> city territorial community suffered losses. </w:t>
            </w:r>
            <w:r>
              <w:rPr>
                <w:rFonts w:ascii="Cambria Math" w:hAnsi="Cambria Math" w:cs="Calibri"/>
                <w:color w:val="1F497D"/>
              </w:rPr>
              <w:t>E</w:t>
            </w:r>
            <w:r w:rsidRPr="00C677E8">
              <w:rPr>
                <w:rFonts w:ascii="Cambria Math" w:hAnsi="Cambria Math" w:cs="Calibri"/>
                <w:color w:val="1F497D"/>
              </w:rPr>
              <w:t>nemy missile destroyed m</w:t>
            </w:r>
            <w:r>
              <w:rPr>
                <w:rFonts w:ascii="Cambria Math" w:hAnsi="Cambria Math" w:cs="Calibri"/>
                <w:color w:val="1F497D"/>
              </w:rPr>
              <w:t>ilitary unit A-0173, killing 22 </w:t>
            </w:r>
            <w:r w:rsidRPr="00C677E8">
              <w:rPr>
                <w:rFonts w:ascii="Cambria Math" w:hAnsi="Cambria Math" w:cs="Calibri"/>
                <w:color w:val="1F497D"/>
              </w:rPr>
              <w:t>servicemen.</w:t>
            </w:r>
          </w:p>
        </w:tc>
      </w:tr>
      <w:tr w:rsidR="00C52695" w:rsidRPr="00D75748" w14:paraId="33C1E489" w14:textId="77777777" w:rsidTr="0007603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36BC" w14:textId="743ECBD6" w:rsidR="00C52695" w:rsidRPr="00C677E8" w:rsidRDefault="00C52695" w:rsidP="00C52695">
            <w:pPr>
              <w:rPr>
                <w:rFonts w:ascii="Cambria Math" w:hAnsi="Cambria Math" w:cs="Calibri"/>
                <w:color w:val="1F497D"/>
                <w:lang w:val="de-DE"/>
              </w:rPr>
            </w:pPr>
            <w:r>
              <w:rPr>
                <w:rFonts w:ascii="Calibri" w:hAnsi="Calibri" w:cs="Calibri"/>
                <w:color w:val="1F497D"/>
                <w:lang w:val="de-DE"/>
              </w:rPr>
              <w:t>Website</w:t>
            </w:r>
          </w:p>
        </w:tc>
        <w:tc>
          <w:tcPr>
            <w:tcW w:w="6548" w:type="dxa"/>
          </w:tcPr>
          <w:p w14:paraId="34D7D277" w14:textId="69CC4A6A" w:rsidR="00C52695" w:rsidRPr="00C677E8" w:rsidRDefault="00C52695" w:rsidP="00C52695">
            <w:pPr>
              <w:rPr>
                <w:rFonts w:ascii="Cambria Math" w:hAnsi="Cambria Math" w:cs="Calibri"/>
                <w:color w:val="1F497D"/>
                <w:lang w:val="uk-UA"/>
              </w:rPr>
            </w:pPr>
            <w:r w:rsidRPr="00C677E8">
              <w:rPr>
                <w:rFonts w:ascii="Cambria Math" w:hAnsi="Cambria Math" w:cs="Calibri"/>
                <w:color w:val="1F497D"/>
                <w:lang w:val="uk-UA"/>
              </w:rPr>
              <w:t>https://podilska-gromada.gov.ua/</w:t>
            </w:r>
          </w:p>
          <w:p w14:paraId="25867EF9" w14:textId="43B5F96C" w:rsidR="00C52695" w:rsidRPr="00C677E8" w:rsidRDefault="00C52695" w:rsidP="00C52695">
            <w:pPr>
              <w:rPr>
                <w:rFonts w:ascii="Cambria Math" w:hAnsi="Cambria Math" w:cs="Calibri"/>
                <w:color w:val="1F497D"/>
                <w:lang w:val="de-DE"/>
              </w:rPr>
            </w:pPr>
          </w:p>
        </w:tc>
      </w:tr>
      <w:tr w:rsidR="00C52695" w:rsidRPr="00C677E8" w14:paraId="20EA4D4E" w14:textId="77777777" w:rsidTr="00076032">
        <w:trPr>
          <w:trHeight w:val="15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487D" w14:textId="77777777" w:rsidR="00C52695" w:rsidRDefault="00C52695" w:rsidP="00C52695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 xml:space="preserve">Expertise/Expert knowledge in some fields </w:t>
            </w:r>
          </w:p>
          <w:p w14:paraId="3BD3F5AB" w14:textId="16FBAF3E" w:rsidR="00C52695" w:rsidRPr="00C677E8" w:rsidRDefault="00C52695" w:rsidP="00C52695">
            <w:pPr>
              <w:rPr>
                <w:rFonts w:ascii="Cambria Math" w:hAnsi="Cambria Math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>(Example Energy, Water, Education, Technology etc.)</w:t>
            </w:r>
          </w:p>
        </w:tc>
        <w:tc>
          <w:tcPr>
            <w:tcW w:w="6548" w:type="dxa"/>
          </w:tcPr>
          <w:p w14:paraId="4D648E51" w14:textId="34E3C364" w:rsidR="00C52695" w:rsidRPr="00C677E8" w:rsidRDefault="00C52695" w:rsidP="00C52695">
            <w:pPr>
              <w:jc w:val="both"/>
              <w:rPr>
                <w:rFonts w:ascii="Cambria Math" w:hAnsi="Cambria Math" w:cs="Calibri"/>
                <w:color w:val="1F497D"/>
              </w:rPr>
            </w:pPr>
            <w:r w:rsidRPr="00C677E8">
              <w:rPr>
                <w:rFonts w:ascii="Cambria Math" w:hAnsi="Cambria Math" w:cs="Calibri"/>
                <w:color w:val="1F497D"/>
              </w:rPr>
              <w:t>There is the industrial park “</w:t>
            </w:r>
            <w:proofErr w:type="spellStart"/>
            <w:r w:rsidRPr="00C677E8">
              <w:rPr>
                <w:rFonts w:ascii="Cambria Math" w:hAnsi="Cambria Math" w:cs="Calibri"/>
                <w:color w:val="1F497D"/>
              </w:rPr>
              <w:t>Podilsk</w:t>
            </w:r>
            <w:proofErr w:type="spellEnd"/>
            <w:r w:rsidRPr="00C677E8">
              <w:rPr>
                <w:rFonts w:ascii="Cambria Math" w:hAnsi="Cambria Math" w:cs="Calibri"/>
                <w:color w:val="1F497D"/>
              </w:rPr>
              <w:t>”, the area of which takes 31.0704 hectares.</w:t>
            </w:r>
            <w:r>
              <w:t xml:space="preserve"> </w:t>
            </w:r>
            <w:r w:rsidRPr="00C677E8">
              <w:rPr>
                <w:rFonts w:ascii="Cambria Math" w:hAnsi="Cambria Math" w:cs="Calibri"/>
                <w:color w:val="1F497D"/>
              </w:rPr>
              <w:t>Priority areas of economic activity that can be carr</w:t>
            </w:r>
            <w:r>
              <w:rPr>
                <w:rFonts w:ascii="Cambria Math" w:hAnsi="Cambria Math" w:cs="Calibri"/>
                <w:color w:val="1F497D"/>
              </w:rPr>
              <w:t xml:space="preserve">ied out in the industrial park, are processing industry: </w:t>
            </w:r>
            <w:r w:rsidRPr="00C677E8">
              <w:rPr>
                <w:rFonts w:ascii="Cambria Math" w:hAnsi="Cambria Math" w:cs="Calibri"/>
                <w:color w:val="1F497D"/>
              </w:rPr>
              <w:t>primary and secondary processing of agricultural</w:t>
            </w:r>
            <w:r>
              <w:rPr>
                <w:rFonts w:ascii="Cambria Math" w:hAnsi="Cambria Math" w:cs="Calibri"/>
                <w:color w:val="1F497D"/>
              </w:rPr>
              <w:t xml:space="preserve"> raw materials, food production, etc</w:t>
            </w:r>
            <w:r w:rsidRPr="00C677E8">
              <w:rPr>
                <w:rFonts w:ascii="Cambria Math" w:hAnsi="Cambria Math" w:cs="Calibri"/>
                <w:color w:val="1F497D"/>
              </w:rPr>
              <w:t>.</w:t>
            </w:r>
          </w:p>
          <w:p w14:paraId="1BB906EC" w14:textId="2E941743" w:rsidR="00C52695" w:rsidRPr="00C677E8" w:rsidRDefault="00C52695" w:rsidP="00C52695">
            <w:pPr>
              <w:jc w:val="both"/>
              <w:rPr>
                <w:rFonts w:ascii="Cambria Math" w:hAnsi="Cambria Math" w:cs="Calibri"/>
                <w:color w:val="1F497D"/>
              </w:rPr>
            </w:pPr>
            <w:r w:rsidRPr="00C677E8">
              <w:rPr>
                <w:rFonts w:ascii="Cambria Math" w:hAnsi="Cambria Math" w:cs="Calibri"/>
                <w:color w:val="1F497D"/>
              </w:rPr>
              <w:t>There is “</w:t>
            </w:r>
            <w:proofErr w:type="spellStart"/>
            <w:r w:rsidRPr="00C677E8">
              <w:rPr>
                <w:rFonts w:ascii="Cambria Math" w:hAnsi="Cambria Math" w:cs="Calibri"/>
                <w:color w:val="1F497D"/>
              </w:rPr>
              <w:t>Podilsk</w:t>
            </w:r>
            <w:proofErr w:type="spellEnd"/>
            <w:r w:rsidRPr="00C677E8">
              <w:rPr>
                <w:rFonts w:ascii="Cambria Math" w:hAnsi="Cambria Math" w:cs="Calibri"/>
                <w:color w:val="1F497D"/>
              </w:rPr>
              <w:t xml:space="preserve"> Vocational Lyceum” State Educational Institution in </w:t>
            </w:r>
            <w:proofErr w:type="spellStart"/>
            <w:r w:rsidRPr="00C677E8">
              <w:rPr>
                <w:rFonts w:ascii="Cambria Math" w:hAnsi="Cambria Math" w:cs="Calibri"/>
                <w:color w:val="1F497D"/>
              </w:rPr>
              <w:t>Podilsk</w:t>
            </w:r>
            <w:proofErr w:type="spellEnd"/>
            <w:r w:rsidRPr="00C677E8">
              <w:rPr>
                <w:rFonts w:ascii="Cambria Math" w:hAnsi="Cambria Math" w:cs="Calibri"/>
                <w:color w:val="1F497D"/>
              </w:rPr>
              <w:t>, which trains personnel in the following professions: tractor driver, electrician, cook, baker a</w:t>
            </w:r>
            <w:r>
              <w:rPr>
                <w:rFonts w:ascii="Cambria Math" w:hAnsi="Cambria Math" w:cs="Calibri"/>
                <w:color w:val="1F497D"/>
              </w:rPr>
              <w:t xml:space="preserve">nd builder, and there is also </w:t>
            </w:r>
            <w:r w:rsidRPr="00C677E8">
              <w:rPr>
                <w:rFonts w:ascii="Cambria Math" w:hAnsi="Cambria Math" w:cs="Calibri"/>
                <w:color w:val="1F497D"/>
              </w:rPr>
              <w:t xml:space="preserve">Regional </w:t>
            </w:r>
            <w:r>
              <w:rPr>
                <w:rFonts w:ascii="Cambria Math" w:hAnsi="Cambria Math" w:cs="Calibri"/>
                <w:color w:val="1F497D"/>
              </w:rPr>
              <w:t>M</w:t>
            </w:r>
            <w:r w:rsidRPr="00C677E8">
              <w:rPr>
                <w:rFonts w:ascii="Cambria Math" w:hAnsi="Cambria Math" w:cs="Calibri"/>
                <w:color w:val="1F497D"/>
              </w:rPr>
              <w:t xml:space="preserve">unicipal </w:t>
            </w:r>
            <w:r>
              <w:rPr>
                <w:rFonts w:ascii="Cambria Math" w:hAnsi="Cambria Math" w:cs="Calibri"/>
                <w:color w:val="1F497D"/>
              </w:rPr>
              <w:t>I</w:t>
            </w:r>
            <w:r w:rsidRPr="00C677E8">
              <w:rPr>
                <w:rFonts w:ascii="Cambria Math" w:hAnsi="Cambria Math" w:cs="Calibri"/>
                <w:color w:val="1F497D"/>
              </w:rPr>
              <w:t>nstitution “</w:t>
            </w:r>
            <w:proofErr w:type="spellStart"/>
            <w:r w:rsidRPr="00C677E8">
              <w:rPr>
                <w:rFonts w:ascii="Cambria Math" w:hAnsi="Cambria Math" w:cs="Calibri"/>
                <w:color w:val="1F497D"/>
              </w:rPr>
              <w:t>Podilsk</w:t>
            </w:r>
            <w:proofErr w:type="spellEnd"/>
            <w:r w:rsidRPr="00C677E8">
              <w:rPr>
                <w:rFonts w:ascii="Cambria Math" w:hAnsi="Cambria Math" w:cs="Calibri"/>
                <w:color w:val="1F497D"/>
              </w:rPr>
              <w:t xml:space="preserve"> Medical Vocational College named after V.O. </w:t>
            </w:r>
            <w:proofErr w:type="spellStart"/>
            <w:r w:rsidRPr="00C677E8">
              <w:rPr>
                <w:rFonts w:ascii="Cambria Math" w:hAnsi="Cambria Math" w:cs="Calibri"/>
                <w:color w:val="1F497D"/>
              </w:rPr>
              <w:t>Zhykovskyi</w:t>
            </w:r>
            <w:proofErr w:type="spellEnd"/>
            <w:r w:rsidRPr="00C677E8">
              <w:rPr>
                <w:rFonts w:ascii="Cambria Math" w:hAnsi="Cambria Math" w:cs="Calibri"/>
                <w:color w:val="1F497D"/>
              </w:rPr>
              <w:t xml:space="preserve">”, which provides highly qualified medical staff. </w:t>
            </w:r>
          </w:p>
          <w:p w14:paraId="61E15A6F" w14:textId="6759064F" w:rsidR="00C52695" w:rsidRPr="00C677E8" w:rsidRDefault="00C52695" w:rsidP="00C52695">
            <w:pPr>
              <w:jc w:val="both"/>
              <w:rPr>
                <w:rFonts w:ascii="Cambria Math" w:hAnsi="Cambria Math" w:cs="Calibri"/>
                <w:color w:val="1F497D"/>
              </w:rPr>
            </w:pPr>
            <w:r w:rsidRPr="00C677E8">
              <w:rPr>
                <w:rFonts w:ascii="Cambria Math" w:hAnsi="Cambria Math" w:cs="Calibri"/>
                <w:color w:val="1F497D"/>
              </w:rPr>
              <w:t>Agricultural lands within the set</w:t>
            </w:r>
            <w:r>
              <w:rPr>
                <w:rFonts w:ascii="Cambria Math" w:hAnsi="Cambria Math" w:cs="Calibri"/>
                <w:color w:val="1F497D"/>
              </w:rPr>
              <w:t>tlements take 2,021.46 hectares.</w:t>
            </w:r>
            <w:r w:rsidRPr="00C677E8">
              <w:rPr>
                <w:rFonts w:ascii="Cambria Math" w:hAnsi="Cambria Math" w:cs="Calibri"/>
                <w:color w:val="1F497D"/>
              </w:rPr>
              <w:t xml:space="preserve"> According to the State Land </w:t>
            </w:r>
            <w:proofErr w:type="spellStart"/>
            <w:r w:rsidRPr="00C677E8">
              <w:rPr>
                <w:rFonts w:ascii="Cambria Math" w:hAnsi="Cambria Math" w:cs="Calibri"/>
                <w:color w:val="1F497D"/>
              </w:rPr>
              <w:t>Cadastre</w:t>
            </w:r>
            <w:proofErr w:type="spellEnd"/>
            <w:r w:rsidRPr="00C677E8">
              <w:rPr>
                <w:rFonts w:ascii="Cambria Math" w:hAnsi="Cambria Math" w:cs="Calibri"/>
                <w:color w:val="1F497D"/>
              </w:rPr>
              <w:t xml:space="preserve">, 9,077.4464 hectares of lands were inventoried (with cadastral numbers) outside the </w:t>
            </w:r>
            <w:proofErr w:type="spellStart"/>
            <w:r w:rsidRPr="00C677E8">
              <w:rPr>
                <w:rFonts w:ascii="Cambria Math" w:hAnsi="Cambria Math" w:cs="Calibri"/>
                <w:color w:val="1F497D"/>
              </w:rPr>
              <w:t>Podilsk</w:t>
            </w:r>
            <w:proofErr w:type="spellEnd"/>
            <w:r w:rsidRPr="00C677E8">
              <w:rPr>
                <w:rFonts w:ascii="Cambria Math" w:hAnsi="Cambria Math" w:cs="Calibri"/>
                <w:color w:val="1F497D"/>
              </w:rPr>
              <w:t xml:space="preserve"> city territorial community.</w:t>
            </w:r>
          </w:p>
          <w:p w14:paraId="6E17C4EB" w14:textId="1D574013" w:rsidR="00C52695" w:rsidRPr="00C677E8" w:rsidRDefault="00C52695" w:rsidP="00C52695">
            <w:pPr>
              <w:jc w:val="both"/>
              <w:rPr>
                <w:rFonts w:ascii="Cambria Math" w:hAnsi="Cambria Math" w:cs="Calibri"/>
                <w:color w:val="1F497D"/>
              </w:rPr>
            </w:pPr>
            <w:r w:rsidRPr="00C677E8">
              <w:rPr>
                <w:rFonts w:ascii="Cambria Math" w:hAnsi="Cambria Math" w:cs="Calibri"/>
                <w:color w:val="1F497D"/>
              </w:rPr>
              <w:t xml:space="preserve">The priority of agricultural activity is growing crops (sunflower, corn, wheat, barley, etc.). However, in the territory of the </w:t>
            </w:r>
            <w:proofErr w:type="spellStart"/>
            <w:r w:rsidRPr="00C677E8">
              <w:rPr>
                <w:rFonts w:ascii="Cambria Math" w:hAnsi="Cambria Math" w:cs="Calibri"/>
                <w:color w:val="1F497D"/>
              </w:rPr>
              <w:t>Podilsk</w:t>
            </w:r>
            <w:proofErr w:type="spellEnd"/>
            <w:r w:rsidRPr="00C677E8">
              <w:rPr>
                <w:rFonts w:ascii="Cambria Math" w:hAnsi="Cambria Math" w:cs="Calibri"/>
                <w:color w:val="1F497D"/>
              </w:rPr>
              <w:t xml:space="preserve"> city territorial community the activity on processing of the given cultures and production of foodstuff is poorly developed that can be an attractive for businessmen from the potential sister city.</w:t>
            </w:r>
          </w:p>
        </w:tc>
      </w:tr>
      <w:tr w:rsidR="00C52695" w:rsidRPr="00C677E8" w14:paraId="519078F6" w14:textId="77777777" w:rsidTr="00076032">
        <w:trPr>
          <w:trHeight w:val="14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D78E" w14:textId="21850A92" w:rsidR="00C52695" w:rsidRPr="00C677E8" w:rsidRDefault="00C52695" w:rsidP="00C52695">
            <w:pPr>
              <w:rPr>
                <w:rFonts w:ascii="Cambria Math" w:hAnsi="Cambria Math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lastRenderedPageBreak/>
              <w:t>Desired areas of future cooperation with EU municipality</w:t>
            </w:r>
          </w:p>
        </w:tc>
        <w:tc>
          <w:tcPr>
            <w:tcW w:w="6548" w:type="dxa"/>
          </w:tcPr>
          <w:p w14:paraId="21276FB5" w14:textId="2322ABFB" w:rsidR="00C52695" w:rsidRDefault="00C52695" w:rsidP="00C52695">
            <w:pPr>
              <w:pStyle w:val="a5"/>
              <w:numPr>
                <w:ilvl w:val="0"/>
                <w:numId w:val="4"/>
              </w:numPr>
              <w:tabs>
                <w:tab w:val="left" w:pos="330"/>
                <w:tab w:val="left" w:pos="580"/>
                <w:tab w:val="left" w:pos="744"/>
              </w:tabs>
              <w:ind w:left="35" w:firstLine="284"/>
              <w:jc w:val="both"/>
              <w:rPr>
                <w:rFonts w:ascii="Cambria Math" w:hAnsi="Cambria Math" w:cs="Calibri"/>
                <w:color w:val="1F497D"/>
              </w:rPr>
            </w:pPr>
            <w:r w:rsidRPr="005A4025">
              <w:rPr>
                <w:rFonts w:ascii="Cambria Math" w:hAnsi="Cambria Math" w:cs="Calibri"/>
                <w:b/>
                <w:color w:val="1F497D"/>
              </w:rPr>
              <w:t>Education</w:t>
            </w:r>
            <w:r>
              <w:rPr>
                <w:rFonts w:ascii="Cambria Math" w:hAnsi="Cambria Math" w:cs="Calibri"/>
                <w:color w:val="1F497D"/>
              </w:rPr>
              <w:t>. I</w:t>
            </w:r>
            <w:r w:rsidRPr="005A4025">
              <w:rPr>
                <w:rFonts w:ascii="Cambria Math" w:hAnsi="Cambria Math" w:cs="Calibri"/>
                <w:color w:val="1F497D"/>
              </w:rPr>
              <w:t>t is possible to organize academic mobility in the form of study tours of students, as well as referrals to practice.</w:t>
            </w:r>
          </w:p>
          <w:p w14:paraId="150DA72C" w14:textId="488B5D39" w:rsidR="00C52695" w:rsidRDefault="00C52695" w:rsidP="00C52695">
            <w:pPr>
              <w:pStyle w:val="a5"/>
              <w:numPr>
                <w:ilvl w:val="0"/>
                <w:numId w:val="4"/>
              </w:numPr>
              <w:tabs>
                <w:tab w:val="left" w:pos="330"/>
                <w:tab w:val="left" w:pos="580"/>
                <w:tab w:val="left" w:pos="744"/>
              </w:tabs>
              <w:ind w:left="35" w:firstLine="284"/>
              <w:jc w:val="both"/>
              <w:rPr>
                <w:rFonts w:ascii="Cambria Math" w:hAnsi="Cambria Math" w:cs="Calibri"/>
                <w:color w:val="1F497D"/>
              </w:rPr>
            </w:pPr>
            <w:r>
              <w:rPr>
                <w:rFonts w:ascii="Cambria Math" w:hAnsi="Cambria Math" w:cs="Calibri"/>
                <w:b/>
                <w:color w:val="1F497D"/>
              </w:rPr>
              <w:t>Economic activities</w:t>
            </w:r>
            <w:r w:rsidRPr="005A4025">
              <w:rPr>
                <w:rFonts w:ascii="Cambria Math" w:hAnsi="Cambria Math" w:cs="Calibri"/>
                <w:color w:val="1F497D"/>
              </w:rPr>
              <w:t>.</w:t>
            </w:r>
            <w:r>
              <w:rPr>
                <w:rFonts w:ascii="Cambria Math" w:hAnsi="Cambria Math" w:cs="Calibri"/>
                <w:color w:val="1F497D"/>
              </w:rPr>
              <w:t xml:space="preserve"> There are a lot of possibilities for business rendering within the community, which has such sources as working potential and raw materials, as well as comfortable transport routes.</w:t>
            </w:r>
          </w:p>
          <w:p w14:paraId="1E843921" w14:textId="08A85C2D" w:rsidR="00C52695" w:rsidRPr="00247A94" w:rsidRDefault="00C52695" w:rsidP="00C52695">
            <w:pPr>
              <w:pStyle w:val="a5"/>
              <w:numPr>
                <w:ilvl w:val="0"/>
                <w:numId w:val="4"/>
              </w:numPr>
              <w:tabs>
                <w:tab w:val="left" w:pos="330"/>
                <w:tab w:val="left" w:pos="580"/>
                <w:tab w:val="left" w:pos="744"/>
              </w:tabs>
              <w:ind w:left="35" w:firstLine="284"/>
              <w:jc w:val="both"/>
              <w:rPr>
                <w:rFonts w:ascii="Cambria Math" w:hAnsi="Cambria Math" w:cs="Calibri"/>
                <w:color w:val="1F497D"/>
                <w:lang w:val="en-GB"/>
              </w:rPr>
            </w:pPr>
            <w:r w:rsidRPr="00247A94">
              <w:rPr>
                <w:rFonts w:ascii="Cambria Math" w:hAnsi="Cambria Math" w:cs="Calibri"/>
                <w:b/>
                <w:color w:val="1F497D"/>
              </w:rPr>
              <w:t>Tourism</w:t>
            </w:r>
            <w:r w:rsidRPr="00247A94">
              <w:rPr>
                <w:rFonts w:ascii="Cambria Math" w:hAnsi="Cambria Math" w:cs="Calibri"/>
                <w:color w:val="1F497D"/>
              </w:rPr>
              <w:t xml:space="preserve">. </w:t>
            </w:r>
            <w:r w:rsidRPr="00247A94">
              <w:rPr>
                <w:rFonts w:ascii="Cambria Math" w:hAnsi="Cambria Math" w:cs="Calibri"/>
                <w:color w:val="1F497D"/>
                <w:lang w:val="en-GB"/>
              </w:rPr>
              <w:t xml:space="preserve">There is a unique Underground Monastery in the village of </w:t>
            </w:r>
            <w:proofErr w:type="spellStart"/>
            <w:r w:rsidRPr="00247A94">
              <w:rPr>
                <w:rFonts w:ascii="Cambria Math" w:hAnsi="Cambria Math" w:cs="Calibri"/>
                <w:color w:val="1F497D"/>
                <w:lang w:val="en-GB"/>
              </w:rPr>
              <w:t>Kazbeky</w:t>
            </w:r>
            <w:proofErr w:type="spellEnd"/>
            <w:r w:rsidRPr="00247A94">
              <w:rPr>
                <w:rFonts w:ascii="Cambria Math" w:hAnsi="Cambria Math" w:cs="Calibri"/>
                <w:color w:val="1F497D"/>
                <w:lang w:val="en-GB"/>
              </w:rPr>
              <w:t xml:space="preserve">, built in the early twentieth century by adherents of the religious movement of </w:t>
            </w:r>
            <w:proofErr w:type="spellStart"/>
            <w:r w:rsidRPr="00247A94">
              <w:rPr>
                <w:rFonts w:ascii="Cambria Math" w:hAnsi="Cambria Math" w:cs="Calibri"/>
                <w:color w:val="1F497D"/>
                <w:lang w:val="en-GB"/>
              </w:rPr>
              <w:t>Inochentism</w:t>
            </w:r>
            <w:proofErr w:type="spellEnd"/>
            <w:r w:rsidRPr="005A4025">
              <w:rPr>
                <w:vertAlign w:val="superscript"/>
                <w:lang w:val="en-GB"/>
              </w:rPr>
              <w:footnoteReference w:id="1"/>
            </w:r>
            <w:r w:rsidRPr="00247A94">
              <w:rPr>
                <w:rFonts w:ascii="Cambria Math" w:hAnsi="Cambria Math" w:cs="Calibri"/>
                <w:color w:val="1F497D"/>
                <w:lang w:val="en-GB"/>
              </w:rPr>
              <w:t>. According to the scheme that has been preserved, the area of ​​the monastery is about 30 hectares. Some corridors reach 2.5 km in length. The monastery had at least 80 cells, various warehouses and offices, including a wine cellar, as well as three churches, the largest of which had a vault 15 meters high. This monument is currently in a state of emergency and requires significant funds for restoration.</w:t>
            </w:r>
          </w:p>
        </w:tc>
      </w:tr>
      <w:tr w:rsidR="00C52695" w:rsidRPr="00C677E8" w14:paraId="6256B5D6" w14:textId="77777777" w:rsidTr="00076032">
        <w:trPr>
          <w:trHeight w:val="99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3DF3" w14:textId="77777777" w:rsidR="00C52695" w:rsidRDefault="00C52695" w:rsidP="00C52695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>Contact person</w:t>
            </w:r>
          </w:p>
          <w:p w14:paraId="023249C1" w14:textId="77777777" w:rsidR="00C52695" w:rsidRDefault="00C52695" w:rsidP="00C52695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>E-Mail:</w:t>
            </w:r>
          </w:p>
          <w:p w14:paraId="57A46C65" w14:textId="5E44269C" w:rsidR="00C52695" w:rsidRPr="00C677E8" w:rsidRDefault="00C52695" w:rsidP="00C52695">
            <w:pPr>
              <w:rPr>
                <w:rFonts w:ascii="Cambria Math" w:hAnsi="Cambria Math" w:cs="Calibri"/>
                <w:color w:val="1F497D"/>
                <w:lang w:val="de-DE"/>
              </w:rPr>
            </w:pPr>
            <w:r>
              <w:rPr>
                <w:rFonts w:ascii="Calibri" w:hAnsi="Calibri" w:cs="Calibri"/>
                <w:color w:val="1F497D"/>
                <w:lang w:val="de-DE"/>
              </w:rPr>
              <w:t>Telefon:</w:t>
            </w:r>
          </w:p>
        </w:tc>
        <w:tc>
          <w:tcPr>
            <w:tcW w:w="6548" w:type="dxa"/>
          </w:tcPr>
          <w:p w14:paraId="0E26448A" w14:textId="7AFC6236" w:rsidR="00C52695" w:rsidRPr="00C677E8" w:rsidRDefault="00C52695" w:rsidP="00C52695">
            <w:pPr>
              <w:rPr>
                <w:rFonts w:ascii="Cambria Math" w:hAnsi="Cambria Math" w:cs="Calibri"/>
                <w:color w:val="1F497D"/>
              </w:rPr>
            </w:pPr>
            <w:r w:rsidRPr="00C677E8">
              <w:rPr>
                <w:rFonts w:ascii="Cambria Math" w:hAnsi="Cambria Math" w:cs="Calibri"/>
                <w:color w:val="1F497D"/>
              </w:rPr>
              <w:t xml:space="preserve">Iryna </w:t>
            </w:r>
            <w:proofErr w:type="spellStart"/>
            <w:r w:rsidRPr="00C677E8">
              <w:rPr>
                <w:rFonts w:ascii="Cambria Math" w:hAnsi="Cambria Math" w:cs="Calibri"/>
                <w:color w:val="1F497D"/>
              </w:rPr>
              <w:t>Radkovska</w:t>
            </w:r>
            <w:proofErr w:type="spellEnd"/>
          </w:p>
          <w:p w14:paraId="51B1EEF6" w14:textId="6D38EC65" w:rsidR="00C52695" w:rsidRPr="00C677E8" w:rsidRDefault="00000000" w:rsidP="00C52695">
            <w:pPr>
              <w:rPr>
                <w:rFonts w:ascii="Cambria Math" w:hAnsi="Cambria Math" w:cs="Calibri"/>
                <w:color w:val="1F497D"/>
              </w:rPr>
            </w:pPr>
            <w:hyperlink r:id="rId7" w:history="1">
              <w:r w:rsidR="00BC36AE" w:rsidRPr="00AD69C9">
                <w:rPr>
                  <w:rStyle w:val="a4"/>
                  <w:rFonts w:ascii="Cambria Math" w:hAnsi="Cambria Math" w:cs="Calibri"/>
                </w:rPr>
                <w:t>investpodilsk@gmail.com</w:t>
              </w:r>
            </w:hyperlink>
          </w:p>
          <w:p w14:paraId="66CD0571" w14:textId="35C85B56" w:rsidR="00C52695" w:rsidRPr="00C677E8" w:rsidRDefault="00C52695" w:rsidP="00C52695">
            <w:pPr>
              <w:rPr>
                <w:rFonts w:ascii="Cambria Math" w:hAnsi="Cambria Math" w:cs="Calibri"/>
                <w:color w:val="1F497D"/>
              </w:rPr>
            </w:pPr>
            <w:r w:rsidRPr="00C677E8">
              <w:rPr>
                <w:rFonts w:ascii="Cambria Math" w:hAnsi="Cambria Math" w:cs="Calibri"/>
                <w:color w:val="1F497D"/>
              </w:rPr>
              <w:t>+380992589348</w:t>
            </w:r>
          </w:p>
        </w:tc>
      </w:tr>
      <w:tr w:rsidR="00C52695" w:rsidRPr="00C677E8" w14:paraId="2F97F732" w14:textId="77777777" w:rsidTr="00076032">
        <w:trPr>
          <w:trHeight w:val="3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2309" w14:textId="77777777" w:rsidR="00C52695" w:rsidRDefault="00C52695" w:rsidP="00C52695">
            <w:pPr>
              <w:rPr>
                <w:rFonts w:ascii="Calibri" w:hAnsi="Calibri" w:cs="Calibri"/>
                <w:color w:val="1F497D"/>
                <w:lang w:val="de-DE"/>
              </w:rPr>
            </w:pPr>
            <w:r>
              <w:rPr>
                <w:rFonts w:ascii="Calibri" w:hAnsi="Calibri" w:cs="Calibri"/>
                <w:color w:val="1F497D"/>
              </w:rPr>
              <w:t>Language for communication</w:t>
            </w:r>
          </w:p>
          <w:p w14:paraId="627B4F71" w14:textId="26963324" w:rsidR="00C52695" w:rsidRPr="00C677E8" w:rsidRDefault="00C52695" w:rsidP="00C52695">
            <w:pPr>
              <w:rPr>
                <w:rFonts w:ascii="Cambria Math" w:hAnsi="Cambria Math" w:cs="Calibri"/>
                <w:color w:val="1F497D"/>
                <w:lang w:val="de-DE"/>
              </w:rPr>
            </w:pPr>
          </w:p>
        </w:tc>
        <w:tc>
          <w:tcPr>
            <w:tcW w:w="6548" w:type="dxa"/>
          </w:tcPr>
          <w:p w14:paraId="2C0B4A24" w14:textId="6164979A" w:rsidR="00C52695" w:rsidRPr="00C677E8" w:rsidRDefault="00C52695" w:rsidP="00C52695">
            <w:pPr>
              <w:rPr>
                <w:rFonts w:ascii="Cambria Math" w:hAnsi="Cambria Math" w:cs="Calibri"/>
                <w:color w:val="1F497D"/>
                <w:lang w:val="de-DE"/>
              </w:rPr>
            </w:pPr>
            <w:r w:rsidRPr="00C677E8">
              <w:rPr>
                <w:rFonts w:ascii="Cambria Math" w:hAnsi="Cambria Math" w:cs="Calibri"/>
                <w:color w:val="1F497D"/>
                <w:lang w:val="de-DE"/>
              </w:rPr>
              <w:t>English</w:t>
            </w:r>
          </w:p>
          <w:p w14:paraId="2FA387A8" w14:textId="77777777" w:rsidR="00C52695" w:rsidRPr="00C677E8" w:rsidRDefault="00C52695" w:rsidP="00C52695">
            <w:pPr>
              <w:rPr>
                <w:rFonts w:ascii="Cambria Math" w:hAnsi="Cambria Math" w:cs="Calibri"/>
                <w:color w:val="1F497D"/>
                <w:lang w:val="de-DE"/>
              </w:rPr>
            </w:pPr>
          </w:p>
        </w:tc>
      </w:tr>
      <w:tr w:rsidR="00C52695" w:rsidRPr="00C677E8" w14:paraId="0BE948FD" w14:textId="77777777" w:rsidTr="0007603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FEAC" w14:textId="0FE07928" w:rsidR="00C52695" w:rsidRPr="00D75748" w:rsidRDefault="00D75748" w:rsidP="00C52695">
            <w:pPr>
              <w:rPr>
                <w:rFonts w:ascii="Cambria Math" w:hAnsi="Cambria Math" w:cs="Calibri"/>
                <w:color w:val="1F497D"/>
              </w:rPr>
            </w:pPr>
            <w:r w:rsidRPr="00D75748">
              <w:rPr>
                <w:rFonts w:ascii="Calibri" w:hAnsi="Calibri" w:cs="Calibri"/>
                <w:color w:val="1F497D"/>
              </w:rPr>
              <w:t>Photo of municipality view</w:t>
            </w:r>
          </w:p>
        </w:tc>
        <w:tc>
          <w:tcPr>
            <w:tcW w:w="6548" w:type="dxa"/>
          </w:tcPr>
          <w:p w14:paraId="6D9BC534" w14:textId="49F8D900" w:rsidR="00C52695" w:rsidRPr="00C677E8" w:rsidRDefault="00C52695" w:rsidP="00C52695">
            <w:pPr>
              <w:jc w:val="center"/>
              <w:rPr>
                <w:rFonts w:ascii="Cambria Math" w:hAnsi="Cambria Math" w:cs="Calibri"/>
                <w:color w:val="1F497D"/>
              </w:rPr>
            </w:pPr>
            <w:r>
              <w:rPr>
                <w:rFonts w:ascii="Cambria Math" w:hAnsi="Cambria Math" w:cs="Calibri"/>
                <w:noProof/>
                <w:color w:val="1F497D"/>
              </w:rPr>
              <w:drawing>
                <wp:inline distT="0" distB="0" distL="0" distR="0" wp14:anchorId="6AA9A745" wp14:editId="42AD7685">
                  <wp:extent cx="3306508" cy="1863090"/>
                  <wp:effectExtent l="0" t="0" r="825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одільська громада (1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1694" cy="1866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448E739A" w14:textId="77777777" w:rsidR="00745FFC" w:rsidRPr="00C677E8" w:rsidRDefault="00745FFC" w:rsidP="00037698">
      <w:pPr>
        <w:rPr>
          <w:rFonts w:ascii="Cambria Math" w:hAnsi="Cambria Math"/>
        </w:rPr>
      </w:pPr>
    </w:p>
    <w:sectPr w:rsidR="00745FFC" w:rsidRPr="00C677E8" w:rsidSect="00D42022">
      <w:pgSz w:w="12240" w:h="15840"/>
      <w:pgMar w:top="1440" w:right="1440" w:bottom="1440" w:left="1440" w:header="708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B2EAD" w14:textId="77777777" w:rsidR="009A5101" w:rsidRDefault="009A5101" w:rsidP="00D42022">
      <w:pPr>
        <w:spacing w:after="0" w:line="240" w:lineRule="auto"/>
      </w:pPr>
      <w:r>
        <w:separator/>
      </w:r>
    </w:p>
  </w:endnote>
  <w:endnote w:type="continuationSeparator" w:id="0">
    <w:p w14:paraId="244E37C2" w14:textId="77777777" w:rsidR="009A5101" w:rsidRDefault="009A5101" w:rsidP="00D42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6528B" w14:textId="77777777" w:rsidR="009A5101" w:rsidRDefault="009A5101" w:rsidP="00D42022">
      <w:pPr>
        <w:spacing w:after="0" w:line="240" w:lineRule="auto"/>
      </w:pPr>
      <w:r>
        <w:separator/>
      </w:r>
    </w:p>
  </w:footnote>
  <w:footnote w:type="continuationSeparator" w:id="0">
    <w:p w14:paraId="372ADE19" w14:textId="77777777" w:rsidR="009A5101" w:rsidRDefault="009A5101" w:rsidP="00D42022">
      <w:pPr>
        <w:spacing w:after="0" w:line="240" w:lineRule="auto"/>
      </w:pPr>
      <w:r>
        <w:continuationSeparator/>
      </w:r>
    </w:p>
  </w:footnote>
  <w:footnote w:id="1">
    <w:p w14:paraId="5A33E632" w14:textId="51555AA9" w:rsidR="00C52695" w:rsidRPr="00AA5C6D" w:rsidRDefault="00C52695" w:rsidP="00AA5C6D">
      <w:pPr>
        <w:pStyle w:val="ac"/>
        <w:jc w:val="both"/>
        <w:rPr>
          <w:rFonts w:ascii="Cambria Math" w:hAnsi="Cambria Math" w:cs="Times New Roman"/>
          <w:lang w:val="en-US"/>
        </w:rPr>
      </w:pPr>
      <w:r w:rsidRPr="00AA5C6D">
        <w:rPr>
          <w:rStyle w:val="ae"/>
          <w:rFonts w:ascii="Cambria Math" w:hAnsi="Cambria Math" w:cs="Times New Roman"/>
        </w:rPr>
        <w:footnoteRef/>
      </w:r>
      <w:r w:rsidRPr="00AA5C6D">
        <w:rPr>
          <w:rFonts w:ascii="Cambria Math" w:hAnsi="Cambria Math" w:cs="Times New Roman"/>
          <w:lang w:val="en-US"/>
        </w:rPr>
        <w:t xml:space="preserve">  Millennialist and Charismatic Christian sect, split from mainstream Eastern Ortho</w:t>
      </w:r>
      <w:r>
        <w:rPr>
          <w:rFonts w:ascii="Cambria Math" w:hAnsi="Cambria Math" w:cs="Times New Roman"/>
          <w:lang w:val="en-US"/>
        </w:rPr>
        <w:t>doxy in the early 20th century.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B260C"/>
    <w:multiLevelType w:val="hybridMultilevel"/>
    <w:tmpl w:val="073AA496"/>
    <w:lvl w:ilvl="0" w:tplc="FC06F73A">
      <w:start w:val="1"/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F2B8F"/>
    <w:multiLevelType w:val="hybridMultilevel"/>
    <w:tmpl w:val="A914FD96"/>
    <w:lvl w:ilvl="0" w:tplc="DCF66FD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51263"/>
    <w:multiLevelType w:val="hybridMultilevel"/>
    <w:tmpl w:val="3D962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660D8"/>
    <w:multiLevelType w:val="hybridMultilevel"/>
    <w:tmpl w:val="803E4290"/>
    <w:lvl w:ilvl="0" w:tplc="9CEA3AE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399034">
    <w:abstractNumId w:val="2"/>
  </w:num>
  <w:num w:numId="2" w16cid:durableId="1796177717">
    <w:abstractNumId w:val="1"/>
  </w:num>
  <w:num w:numId="3" w16cid:durableId="1238907504">
    <w:abstractNumId w:val="3"/>
  </w:num>
  <w:num w:numId="4" w16cid:durableId="1440639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7F9"/>
    <w:rsid w:val="000100BF"/>
    <w:rsid w:val="00012FD2"/>
    <w:rsid w:val="00037698"/>
    <w:rsid w:val="00040FCF"/>
    <w:rsid w:val="0008361F"/>
    <w:rsid w:val="00094402"/>
    <w:rsid w:val="000F1C3F"/>
    <w:rsid w:val="000F7A53"/>
    <w:rsid w:val="00110D06"/>
    <w:rsid w:val="00130440"/>
    <w:rsid w:val="00166845"/>
    <w:rsid w:val="001B3162"/>
    <w:rsid w:val="001B3377"/>
    <w:rsid w:val="001E13B3"/>
    <w:rsid w:val="001E2970"/>
    <w:rsid w:val="001E5168"/>
    <w:rsid w:val="00212208"/>
    <w:rsid w:val="00247A94"/>
    <w:rsid w:val="00251730"/>
    <w:rsid w:val="002C1890"/>
    <w:rsid w:val="00307FC3"/>
    <w:rsid w:val="00391741"/>
    <w:rsid w:val="003A018A"/>
    <w:rsid w:val="003A56F9"/>
    <w:rsid w:val="003E2FC9"/>
    <w:rsid w:val="00437B91"/>
    <w:rsid w:val="00445B75"/>
    <w:rsid w:val="004D166E"/>
    <w:rsid w:val="005156ED"/>
    <w:rsid w:val="005270C8"/>
    <w:rsid w:val="005567EF"/>
    <w:rsid w:val="00561531"/>
    <w:rsid w:val="00574826"/>
    <w:rsid w:val="00583133"/>
    <w:rsid w:val="005877F9"/>
    <w:rsid w:val="005A4025"/>
    <w:rsid w:val="005E38C6"/>
    <w:rsid w:val="005F13B9"/>
    <w:rsid w:val="0061041D"/>
    <w:rsid w:val="00652DF5"/>
    <w:rsid w:val="006536CF"/>
    <w:rsid w:val="0073698D"/>
    <w:rsid w:val="00745FFC"/>
    <w:rsid w:val="007709BD"/>
    <w:rsid w:val="007A73FC"/>
    <w:rsid w:val="007D7E3B"/>
    <w:rsid w:val="007F443E"/>
    <w:rsid w:val="00845314"/>
    <w:rsid w:val="00854659"/>
    <w:rsid w:val="00897787"/>
    <w:rsid w:val="008C4790"/>
    <w:rsid w:val="008C4E31"/>
    <w:rsid w:val="008D1394"/>
    <w:rsid w:val="00901CF7"/>
    <w:rsid w:val="0090671F"/>
    <w:rsid w:val="00913997"/>
    <w:rsid w:val="00927A1D"/>
    <w:rsid w:val="009A0991"/>
    <w:rsid w:val="009A11D5"/>
    <w:rsid w:val="009A5101"/>
    <w:rsid w:val="009B32EF"/>
    <w:rsid w:val="009E3704"/>
    <w:rsid w:val="00A03BC9"/>
    <w:rsid w:val="00A27F23"/>
    <w:rsid w:val="00A40675"/>
    <w:rsid w:val="00AA48E3"/>
    <w:rsid w:val="00AA5C6D"/>
    <w:rsid w:val="00AC029F"/>
    <w:rsid w:val="00AF2369"/>
    <w:rsid w:val="00B037C5"/>
    <w:rsid w:val="00BA3375"/>
    <w:rsid w:val="00BB4857"/>
    <w:rsid w:val="00BB6843"/>
    <w:rsid w:val="00BC36AE"/>
    <w:rsid w:val="00C423A0"/>
    <w:rsid w:val="00C42DBE"/>
    <w:rsid w:val="00C52695"/>
    <w:rsid w:val="00C677E8"/>
    <w:rsid w:val="00CA209D"/>
    <w:rsid w:val="00CE3706"/>
    <w:rsid w:val="00D17E26"/>
    <w:rsid w:val="00D22029"/>
    <w:rsid w:val="00D42022"/>
    <w:rsid w:val="00D44809"/>
    <w:rsid w:val="00D75748"/>
    <w:rsid w:val="00D80E28"/>
    <w:rsid w:val="00D81C84"/>
    <w:rsid w:val="00DE4DA1"/>
    <w:rsid w:val="00DF302A"/>
    <w:rsid w:val="00E20A39"/>
    <w:rsid w:val="00E53A53"/>
    <w:rsid w:val="00E61947"/>
    <w:rsid w:val="00E71BDF"/>
    <w:rsid w:val="00EA373A"/>
    <w:rsid w:val="00EB2158"/>
    <w:rsid w:val="00EE7684"/>
    <w:rsid w:val="00F11C18"/>
    <w:rsid w:val="00F441AA"/>
    <w:rsid w:val="00F50514"/>
    <w:rsid w:val="00F57C60"/>
    <w:rsid w:val="00FA3326"/>
    <w:rsid w:val="00FA5B7A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DE66C"/>
  <w15:docId w15:val="{6091FE74-4868-4A8A-8C4E-7FF5FED7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23A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100B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45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45FF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42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D42022"/>
  </w:style>
  <w:style w:type="paragraph" w:styleId="aa">
    <w:name w:val="footer"/>
    <w:basedOn w:val="a"/>
    <w:link w:val="ab"/>
    <w:uiPriority w:val="99"/>
    <w:unhideWhenUsed/>
    <w:rsid w:val="00D42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D42022"/>
  </w:style>
  <w:style w:type="paragraph" w:styleId="ac">
    <w:name w:val="footnote text"/>
    <w:basedOn w:val="a"/>
    <w:link w:val="ad"/>
    <w:uiPriority w:val="99"/>
    <w:semiHidden/>
    <w:unhideWhenUsed/>
    <w:rsid w:val="005A4025"/>
    <w:pPr>
      <w:spacing w:after="0" w:line="240" w:lineRule="auto"/>
    </w:pPr>
    <w:rPr>
      <w:rFonts w:ascii="Calibri" w:eastAsia="Calibri" w:hAnsi="Calibri" w:cs="SimSun"/>
      <w:sz w:val="20"/>
      <w:szCs w:val="20"/>
      <w:lang w:val="ru-RU"/>
    </w:rPr>
  </w:style>
  <w:style w:type="character" w:customStyle="1" w:styleId="ad">
    <w:name w:val="Текст виноски Знак"/>
    <w:basedOn w:val="a0"/>
    <w:link w:val="ac"/>
    <w:uiPriority w:val="99"/>
    <w:semiHidden/>
    <w:rsid w:val="005A4025"/>
    <w:rPr>
      <w:rFonts w:ascii="Calibri" w:eastAsia="Calibri" w:hAnsi="Calibri" w:cs="SimSun"/>
      <w:sz w:val="20"/>
      <w:szCs w:val="20"/>
      <w:lang w:val="ru-RU"/>
    </w:rPr>
  </w:style>
  <w:style w:type="character" w:styleId="ae">
    <w:name w:val="footnote reference"/>
    <w:basedOn w:val="a0"/>
    <w:uiPriority w:val="99"/>
    <w:semiHidden/>
    <w:unhideWhenUsed/>
    <w:rsid w:val="005A4025"/>
    <w:rPr>
      <w:vertAlign w:val="superscript"/>
    </w:rPr>
  </w:style>
  <w:style w:type="character" w:styleId="af">
    <w:name w:val="Unresolved Mention"/>
    <w:basedOn w:val="a0"/>
    <w:uiPriority w:val="99"/>
    <w:semiHidden/>
    <w:unhideWhenUsed/>
    <w:rsid w:val="00C52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nvestpodils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2279</Words>
  <Characters>1300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Hnasiuk-Terletska, Valentyna GIZ UA</dc:creator>
  <cp:lastModifiedBy>Yulia Bandura</cp:lastModifiedBy>
  <cp:revision>8</cp:revision>
  <dcterms:created xsi:type="dcterms:W3CDTF">2022-06-15T08:22:00Z</dcterms:created>
  <dcterms:modified xsi:type="dcterms:W3CDTF">2022-08-10T17:55:00Z</dcterms:modified>
</cp:coreProperties>
</file>