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DCDC" w14:textId="45672E20" w:rsidR="00141B17" w:rsidRPr="005F6310" w:rsidRDefault="005F6310" w:rsidP="005F6310">
      <w:pPr>
        <w:autoSpaceDE w:val="0"/>
        <w:autoSpaceDN w:val="0"/>
        <w:adjustRightInd w:val="0"/>
        <w:spacing w:after="0" w:line="240" w:lineRule="auto"/>
        <w:rPr>
          <w:rFonts w:asciiTheme="majorHAnsi" w:hAnsiTheme="majorHAnsi" w:cstheme="majorHAnsi"/>
          <w:sz w:val="24"/>
          <w:szCs w:val="24"/>
          <w:lang w:val="lv-LV"/>
        </w:rPr>
      </w:pPr>
      <w:r w:rsidRPr="005F6310">
        <w:rPr>
          <w:rFonts w:asciiTheme="majorHAnsi" w:hAnsiTheme="majorHAnsi" w:cstheme="majorHAnsi"/>
          <w:sz w:val="24"/>
          <w:szCs w:val="24"/>
          <w:lang w:val="lv-LV"/>
        </w:rPr>
        <w:t xml:space="preserve">VARAM ministra rīkojuma </w:t>
      </w:r>
      <w:r w:rsidR="00141B17" w:rsidRPr="005F6310">
        <w:rPr>
          <w:rFonts w:asciiTheme="majorHAnsi" w:hAnsiTheme="majorHAnsi" w:cstheme="majorHAnsi"/>
          <w:sz w:val="24"/>
          <w:szCs w:val="24"/>
          <w:lang w:val="lv-LV"/>
        </w:rPr>
        <w:t>Nr.</w:t>
      </w:r>
      <w:r w:rsidR="00180D70" w:rsidRPr="005F6310">
        <w:rPr>
          <w:rFonts w:asciiTheme="majorHAnsi" w:hAnsiTheme="majorHAnsi" w:cstheme="majorHAnsi"/>
          <w:sz w:val="24"/>
          <w:szCs w:val="24"/>
          <w:lang w:val="lv-LV"/>
        </w:rPr>
        <w:t xml:space="preserve"> </w:t>
      </w:r>
      <w:r w:rsidR="00180D70" w:rsidRPr="005F6310">
        <w:rPr>
          <w:rFonts w:asciiTheme="majorHAnsi" w:hAnsiTheme="majorHAnsi" w:cstheme="majorHAnsi"/>
          <w:noProof/>
          <w:sz w:val="24"/>
          <w:szCs w:val="24"/>
          <w:lang w:val="lv-LV"/>
        </w:rPr>
        <w:t>15-2/4906</w:t>
      </w:r>
    </w:p>
    <w:p w14:paraId="108F13D8" w14:textId="565CF9CA" w:rsidR="00CC3A2E" w:rsidRPr="005F6310" w:rsidRDefault="00EA1AA6" w:rsidP="005F6310">
      <w:pPr>
        <w:spacing w:after="0" w:line="240" w:lineRule="auto"/>
        <w:outlineLvl w:val="2"/>
        <w:rPr>
          <w:rFonts w:asciiTheme="majorHAnsi" w:hAnsiTheme="majorHAnsi" w:cstheme="majorHAnsi"/>
          <w:sz w:val="24"/>
          <w:szCs w:val="24"/>
          <w:shd w:val="clear" w:color="auto" w:fill="FFFFFF"/>
          <w:lang w:val="lv-LV"/>
        </w:rPr>
      </w:pPr>
      <w:r w:rsidRPr="005F6310">
        <w:rPr>
          <w:rFonts w:asciiTheme="majorHAnsi" w:eastAsia="Times New Roman" w:hAnsiTheme="majorHAnsi" w:cstheme="majorHAnsi"/>
          <w:sz w:val="24"/>
          <w:szCs w:val="24"/>
          <w:lang w:val="lv-LV" w:eastAsia="lv-LV"/>
        </w:rPr>
        <w:t>Pa</w:t>
      </w:r>
      <w:r w:rsidR="00CC3A2E" w:rsidRPr="005F6310">
        <w:rPr>
          <w:rFonts w:asciiTheme="majorHAnsi" w:eastAsia="Times New Roman" w:hAnsiTheme="majorHAnsi" w:cstheme="majorHAnsi"/>
          <w:sz w:val="24"/>
          <w:szCs w:val="24"/>
          <w:lang w:val="lv-LV" w:eastAsia="lv-LV"/>
        </w:rPr>
        <w:t xml:space="preserve">r </w:t>
      </w:r>
      <w:r w:rsidR="002B45C5" w:rsidRPr="005F6310">
        <w:rPr>
          <w:rFonts w:asciiTheme="majorHAnsi" w:hAnsiTheme="majorHAnsi" w:cstheme="majorHAnsi"/>
          <w:sz w:val="24"/>
          <w:szCs w:val="24"/>
          <w:lang w:val="lv-LV"/>
        </w:rPr>
        <w:t>Salacgrīvas novada domes 2020.gada 19.februāra saistošo noteikumu</w:t>
      </w:r>
      <w:r w:rsidR="002B45C5" w:rsidRPr="005F6310">
        <w:rPr>
          <w:rFonts w:asciiTheme="majorHAnsi" w:hAnsiTheme="majorHAnsi" w:cstheme="majorHAnsi"/>
          <w:sz w:val="24"/>
          <w:szCs w:val="24"/>
          <w:shd w:val="clear" w:color="auto" w:fill="FFFFFF"/>
          <w:lang w:val="lv-LV"/>
        </w:rPr>
        <w:t xml:space="preserve"> Nr.4 "Salacgrīvas novada teritorijas plānojuma līdz 2030.gadam teritorijas izmantošanas un apbūves noteikumi un grafiskā daļa" </w:t>
      </w:r>
      <w:r w:rsidR="00CC3A2E" w:rsidRPr="005F6310">
        <w:rPr>
          <w:rFonts w:asciiTheme="majorHAnsi" w:eastAsia="Times New Roman" w:hAnsiTheme="majorHAnsi" w:cstheme="majorHAnsi"/>
          <w:sz w:val="24"/>
          <w:szCs w:val="24"/>
          <w:lang w:val="lv-LV" w:eastAsia="lv-LV"/>
        </w:rPr>
        <w:t xml:space="preserve">darbības apturēšanu </w:t>
      </w:r>
    </w:p>
    <w:p w14:paraId="2FE3AA6B" w14:textId="77777777" w:rsidR="00812C1B" w:rsidRDefault="00812C1B" w:rsidP="005F6310">
      <w:pPr>
        <w:autoSpaceDE w:val="0"/>
        <w:autoSpaceDN w:val="0"/>
        <w:adjustRightInd w:val="0"/>
        <w:spacing w:after="0" w:line="240" w:lineRule="auto"/>
        <w:jc w:val="center"/>
        <w:rPr>
          <w:rFonts w:asciiTheme="majorHAnsi" w:hAnsiTheme="majorHAnsi" w:cstheme="majorHAnsi"/>
          <w:sz w:val="24"/>
          <w:szCs w:val="24"/>
          <w:lang w:val="lv-LV"/>
        </w:rPr>
      </w:pPr>
    </w:p>
    <w:p w14:paraId="5BF8FBB7" w14:textId="35F91692" w:rsidR="00361146" w:rsidRDefault="005F6310" w:rsidP="005F6310">
      <w:pPr>
        <w:autoSpaceDE w:val="0"/>
        <w:autoSpaceDN w:val="0"/>
        <w:adjustRightInd w:val="0"/>
        <w:spacing w:after="0" w:line="240" w:lineRule="auto"/>
        <w:jc w:val="center"/>
        <w:rPr>
          <w:rFonts w:asciiTheme="majorHAnsi" w:hAnsiTheme="majorHAnsi" w:cstheme="majorHAnsi"/>
          <w:sz w:val="24"/>
          <w:szCs w:val="24"/>
          <w:lang w:val="lv-LV"/>
        </w:rPr>
      </w:pPr>
      <w:r>
        <w:rPr>
          <w:rFonts w:asciiTheme="majorHAnsi" w:hAnsiTheme="majorHAnsi" w:cstheme="majorHAnsi"/>
          <w:sz w:val="24"/>
          <w:szCs w:val="24"/>
          <w:lang w:val="lv-LV"/>
        </w:rPr>
        <w:t>SATURA IZVĒRTĒJUMS</w:t>
      </w:r>
    </w:p>
    <w:p w14:paraId="0D85A451" w14:textId="77777777" w:rsidR="005F6310" w:rsidRPr="00110757" w:rsidRDefault="005F6310" w:rsidP="00B1443A">
      <w:pPr>
        <w:autoSpaceDE w:val="0"/>
        <w:autoSpaceDN w:val="0"/>
        <w:adjustRightInd w:val="0"/>
        <w:spacing w:after="0" w:line="240" w:lineRule="auto"/>
        <w:rPr>
          <w:rFonts w:asciiTheme="majorHAnsi" w:hAnsiTheme="majorHAnsi" w:cstheme="majorHAnsi"/>
          <w:sz w:val="24"/>
          <w:szCs w:val="24"/>
          <w:lang w:val="lv-LV"/>
        </w:rPr>
      </w:pPr>
    </w:p>
    <w:tbl>
      <w:tblPr>
        <w:tblStyle w:val="TableGrid"/>
        <w:tblW w:w="4815" w:type="pct"/>
        <w:tblLook w:val="04A0" w:firstRow="1" w:lastRow="0" w:firstColumn="1" w:lastColumn="0" w:noHBand="0" w:noVBand="1"/>
      </w:tblPr>
      <w:tblGrid>
        <w:gridCol w:w="4107"/>
        <w:gridCol w:w="3117"/>
        <w:gridCol w:w="2269"/>
        <w:gridCol w:w="4939"/>
      </w:tblGrid>
      <w:tr w:rsidR="00170C81" w:rsidRPr="00940E93" w14:paraId="1A6F4CDD" w14:textId="25BA39FC" w:rsidTr="00A65614">
        <w:tc>
          <w:tcPr>
            <w:tcW w:w="1423" w:type="pct"/>
          </w:tcPr>
          <w:p w14:paraId="4FB2857E" w14:textId="5BAA41F7" w:rsidR="00170C81" w:rsidRPr="00940E93" w:rsidRDefault="00170C81" w:rsidP="00110757">
            <w:pPr>
              <w:tabs>
                <w:tab w:val="left" w:pos="426"/>
              </w:tabs>
              <w:spacing w:after="0" w:line="240" w:lineRule="auto"/>
              <w:jc w:val="center"/>
              <w:rPr>
                <w:rFonts w:asciiTheme="majorHAnsi" w:hAnsiTheme="majorHAnsi" w:cstheme="majorHAnsi"/>
                <w:b/>
                <w:bCs/>
                <w:shd w:val="clear" w:color="auto" w:fill="FFFFFF"/>
                <w:lang w:val="lv-LV"/>
              </w:rPr>
            </w:pPr>
            <w:r w:rsidRPr="00940E93">
              <w:rPr>
                <w:rFonts w:asciiTheme="majorHAnsi" w:hAnsiTheme="majorHAnsi" w:cstheme="majorHAnsi"/>
                <w:b/>
                <w:bCs/>
                <w:shd w:val="clear" w:color="auto" w:fill="FFFFFF"/>
                <w:lang w:val="lv-LV"/>
              </w:rPr>
              <w:t>Rīkojuma saturs</w:t>
            </w:r>
          </w:p>
        </w:tc>
        <w:tc>
          <w:tcPr>
            <w:tcW w:w="1080" w:type="pct"/>
          </w:tcPr>
          <w:p w14:paraId="0EB80A11" w14:textId="771B485C" w:rsidR="00170C81" w:rsidRPr="00940E93" w:rsidRDefault="00170C81" w:rsidP="00110757">
            <w:pPr>
              <w:tabs>
                <w:tab w:val="left" w:pos="426"/>
              </w:tabs>
              <w:spacing w:after="0" w:line="240" w:lineRule="auto"/>
              <w:jc w:val="center"/>
              <w:rPr>
                <w:rFonts w:asciiTheme="majorHAnsi" w:hAnsiTheme="majorHAnsi" w:cstheme="majorHAnsi"/>
                <w:b/>
                <w:bCs/>
                <w:shd w:val="clear" w:color="auto" w:fill="FFFFFF"/>
                <w:lang w:val="lv-LV"/>
              </w:rPr>
            </w:pPr>
            <w:r w:rsidRPr="00940E93">
              <w:rPr>
                <w:rFonts w:asciiTheme="majorHAnsi" w:hAnsiTheme="majorHAnsi" w:cstheme="majorHAnsi"/>
                <w:b/>
                <w:bCs/>
                <w:shd w:val="clear" w:color="auto" w:fill="FFFFFF"/>
                <w:lang w:val="lv-LV"/>
              </w:rPr>
              <w:t>TP saturs</w:t>
            </w:r>
          </w:p>
        </w:tc>
        <w:tc>
          <w:tcPr>
            <w:tcW w:w="2497" w:type="pct"/>
            <w:gridSpan w:val="2"/>
          </w:tcPr>
          <w:p w14:paraId="744F33F6" w14:textId="1B42FC37" w:rsidR="00170C81" w:rsidRPr="00940E93" w:rsidRDefault="00CC18C6" w:rsidP="00110757">
            <w:pPr>
              <w:tabs>
                <w:tab w:val="left" w:pos="426"/>
              </w:tabs>
              <w:spacing w:after="0" w:line="240" w:lineRule="auto"/>
              <w:jc w:val="center"/>
              <w:rPr>
                <w:rFonts w:asciiTheme="majorHAnsi" w:hAnsiTheme="majorHAnsi" w:cstheme="majorHAnsi"/>
                <w:b/>
                <w:bCs/>
                <w:shd w:val="clear" w:color="auto" w:fill="FFFFFF"/>
                <w:lang w:val="lv-LV"/>
              </w:rPr>
            </w:pPr>
            <w:r>
              <w:rPr>
                <w:rFonts w:asciiTheme="majorHAnsi" w:hAnsiTheme="majorHAnsi" w:cstheme="majorHAnsi"/>
                <w:b/>
                <w:bCs/>
                <w:shd w:val="clear" w:color="auto" w:fill="FFFFFF"/>
                <w:lang w:val="lv-LV"/>
              </w:rPr>
              <w:t>Komentāri</w:t>
            </w:r>
          </w:p>
        </w:tc>
      </w:tr>
      <w:tr w:rsidR="00710479" w:rsidRPr="00940E93" w14:paraId="783A675C" w14:textId="77777777" w:rsidTr="00710479">
        <w:tc>
          <w:tcPr>
            <w:tcW w:w="5000" w:type="pct"/>
            <w:gridSpan w:val="4"/>
          </w:tcPr>
          <w:p w14:paraId="7F8A00BC" w14:textId="77777777" w:rsidR="00812C1B" w:rsidRDefault="00812C1B" w:rsidP="00710479">
            <w:pPr>
              <w:tabs>
                <w:tab w:val="left" w:pos="426"/>
              </w:tabs>
              <w:spacing w:after="0" w:line="240" w:lineRule="auto"/>
              <w:jc w:val="center"/>
              <w:rPr>
                <w:rFonts w:asciiTheme="majorHAnsi" w:hAnsiTheme="majorHAnsi" w:cstheme="majorHAnsi"/>
                <w:b/>
                <w:bCs/>
                <w:sz w:val="24"/>
                <w:szCs w:val="24"/>
                <w:shd w:val="clear" w:color="auto" w:fill="FFFFFF"/>
                <w:lang w:val="lv-LV"/>
              </w:rPr>
            </w:pPr>
          </w:p>
          <w:p w14:paraId="1C94E9A0" w14:textId="77777777" w:rsidR="00710479" w:rsidRDefault="00812C1B" w:rsidP="00710479">
            <w:pPr>
              <w:tabs>
                <w:tab w:val="left" w:pos="426"/>
              </w:tabs>
              <w:spacing w:after="0" w:line="240" w:lineRule="auto"/>
              <w:jc w:val="center"/>
              <w:rPr>
                <w:rFonts w:asciiTheme="majorHAnsi" w:hAnsiTheme="majorHAnsi" w:cstheme="majorHAnsi"/>
                <w:b/>
                <w:bCs/>
                <w:sz w:val="24"/>
                <w:szCs w:val="24"/>
                <w:shd w:val="clear" w:color="auto" w:fill="FFFFFF"/>
                <w:lang w:val="lv-LV"/>
              </w:rPr>
            </w:pPr>
            <w:r>
              <w:rPr>
                <w:rFonts w:asciiTheme="majorHAnsi" w:hAnsiTheme="majorHAnsi" w:cstheme="majorHAnsi"/>
                <w:b/>
                <w:bCs/>
                <w:sz w:val="24"/>
                <w:szCs w:val="24"/>
                <w:shd w:val="clear" w:color="auto" w:fill="FFFFFF"/>
                <w:lang w:val="lv-LV"/>
              </w:rPr>
              <w:t>NEIZPROTAMIE PĀRMETUMI</w:t>
            </w:r>
          </w:p>
          <w:p w14:paraId="5A3D2ED4" w14:textId="6C4B3749" w:rsidR="00812C1B" w:rsidRPr="00710479" w:rsidRDefault="00812C1B" w:rsidP="00710479">
            <w:pPr>
              <w:tabs>
                <w:tab w:val="left" w:pos="426"/>
              </w:tabs>
              <w:spacing w:after="0" w:line="240" w:lineRule="auto"/>
              <w:jc w:val="center"/>
              <w:rPr>
                <w:rFonts w:asciiTheme="majorHAnsi" w:hAnsiTheme="majorHAnsi" w:cstheme="majorHAnsi"/>
                <w:b/>
                <w:bCs/>
                <w:sz w:val="24"/>
                <w:szCs w:val="24"/>
                <w:shd w:val="clear" w:color="auto" w:fill="FFFFFF"/>
                <w:lang w:val="lv-LV"/>
              </w:rPr>
            </w:pPr>
          </w:p>
        </w:tc>
      </w:tr>
      <w:tr w:rsidR="005B5DEA" w:rsidRPr="00940E93" w14:paraId="0A0C66BE" w14:textId="64A8FD35" w:rsidTr="004805C1">
        <w:tc>
          <w:tcPr>
            <w:tcW w:w="1423" w:type="pct"/>
          </w:tcPr>
          <w:p w14:paraId="6B433344" w14:textId="1A799401" w:rsidR="005B5DEA" w:rsidRPr="00940E93" w:rsidRDefault="005B5DEA" w:rsidP="005B5DEA">
            <w:pPr>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 xml:space="preserve">Pēc pēdējās publiskās apspriešanas Salacgrīvas novada TP ir </w:t>
            </w:r>
            <w:r w:rsidRPr="00940E93">
              <w:rPr>
                <w:rFonts w:asciiTheme="majorHAnsi" w:hAnsiTheme="majorHAnsi" w:cstheme="majorHAnsi"/>
                <w:b/>
                <w:bCs/>
                <w:sz w:val="20"/>
                <w:szCs w:val="20"/>
                <w:lang w:val="lv-LV"/>
              </w:rPr>
              <w:t>veiktas izmaiņas, kuras nevar uzskatīt par redakcionālām</w:t>
            </w:r>
            <w:r w:rsidRPr="00940E93">
              <w:rPr>
                <w:rFonts w:asciiTheme="majorHAnsi" w:hAnsiTheme="majorHAnsi" w:cstheme="majorHAnsi"/>
                <w:sz w:val="20"/>
                <w:szCs w:val="20"/>
                <w:lang w:val="lv-LV"/>
              </w:rPr>
              <w:t>, atbilstoši normatīvajam regulējumam bija nepieciešams organizēt atkārtotu publisko apspriešanu.</w:t>
            </w:r>
            <w:r w:rsidRPr="00940E93">
              <w:rPr>
                <w:rStyle w:val="FootnoteReference"/>
                <w:rFonts w:asciiTheme="majorHAnsi" w:hAnsiTheme="majorHAnsi" w:cstheme="majorHAnsi"/>
                <w:sz w:val="20"/>
                <w:szCs w:val="20"/>
                <w:lang w:val="lv-LV"/>
              </w:rPr>
              <w:footnoteReference w:id="2"/>
            </w:r>
            <w:r w:rsidRPr="00940E93">
              <w:rPr>
                <w:rFonts w:asciiTheme="majorHAnsi" w:hAnsiTheme="majorHAnsi" w:cstheme="majorHAnsi"/>
                <w:sz w:val="20"/>
                <w:szCs w:val="20"/>
                <w:lang w:val="lv-LV"/>
              </w:rPr>
              <w:t xml:space="preserve"> </w:t>
            </w:r>
            <w:r w:rsidRPr="00940E93">
              <w:rPr>
                <w:rFonts w:asciiTheme="majorHAnsi" w:hAnsiTheme="majorHAnsi" w:cstheme="majorHAnsi"/>
                <w:bCs/>
                <w:sz w:val="20"/>
                <w:szCs w:val="20"/>
                <w:lang w:val="lv-LV"/>
              </w:rPr>
              <w:t xml:space="preserve">Konstatējams, ka pirms Salacgrīvas TP apstiprināšanas veikta virkne precizējumu teritorijas izmantošanas un apbūves noteikumos (turpmāk </w:t>
            </w:r>
            <w:r w:rsidRPr="00940E93">
              <w:rPr>
                <w:rFonts w:asciiTheme="majorHAnsi" w:hAnsiTheme="majorHAnsi" w:cstheme="majorHAnsi"/>
                <w:sz w:val="20"/>
                <w:szCs w:val="20"/>
                <w:lang w:val="lv-LV"/>
              </w:rPr>
              <w:t>–</w:t>
            </w:r>
            <w:r w:rsidRPr="00940E93">
              <w:rPr>
                <w:rFonts w:asciiTheme="majorHAnsi" w:hAnsiTheme="majorHAnsi" w:cstheme="majorHAnsi"/>
                <w:bCs/>
                <w:sz w:val="20"/>
                <w:szCs w:val="20"/>
                <w:lang w:val="lv-LV"/>
              </w:rPr>
              <w:t xml:space="preserve"> apbūves noteikumi), kas nav atzīstamas par redakcionālām kļūdām.</w:t>
            </w:r>
          </w:p>
        </w:tc>
        <w:tc>
          <w:tcPr>
            <w:tcW w:w="3577" w:type="pct"/>
            <w:gridSpan w:val="3"/>
          </w:tcPr>
          <w:p w14:paraId="526D48BF"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Pēc publiskās apspriešanas, saskaņā ar izstrādes vadītāja 10.februāra ziņojumu, plānojumā </w:t>
            </w:r>
            <w:r w:rsidRPr="00940E93">
              <w:rPr>
                <w:rFonts w:asciiTheme="majorHAnsi" w:hAnsiTheme="majorHAnsi" w:cstheme="majorHAnsi"/>
                <w:b/>
                <w:bCs/>
                <w:sz w:val="20"/>
                <w:szCs w:val="20"/>
                <w:shd w:val="clear" w:color="auto" w:fill="FFFFFF"/>
                <w:lang w:val="lv-LV"/>
              </w:rPr>
              <w:t>veiktas sekojošas izmaiņas</w:t>
            </w:r>
            <w:r w:rsidRPr="00940E93">
              <w:rPr>
                <w:rFonts w:asciiTheme="majorHAnsi" w:hAnsiTheme="majorHAnsi" w:cstheme="majorHAnsi"/>
                <w:sz w:val="20"/>
                <w:szCs w:val="20"/>
                <w:shd w:val="clear" w:color="auto" w:fill="FFFFFF"/>
                <w:lang w:val="lv-LV"/>
              </w:rPr>
              <w:t xml:space="preserve">: </w:t>
            </w:r>
          </w:p>
          <w:p w14:paraId="458CA426"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1. Precizēt TIAN 9.pielikuma saturu, labojot valsts ģeodēziskā tīkla punktu sarakstā nivelēšanas tīkla 1. klases sienas reperim 593 pieļauto </w:t>
            </w:r>
            <w:r w:rsidRPr="00940E93">
              <w:rPr>
                <w:rFonts w:asciiTheme="majorHAnsi" w:hAnsiTheme="majorHAnsi" w:cstheme="majorHAnsi"/>
                <w:b/>
                <w:bCs/>
                <w:sz w:val="20"/>
                <w:szCs w:val="20"/>
                <w:shd w:val="clear" w:color="auto" w:fill="FFFFFF"/>
                <w:lang w:val="lv-LV"/>
              </w:rPr>
              <w:t>kļūdu Y koordinātā</w:t>
            </w:r>
            <w:r w:rsidRPr="00940E93">
              <w:rPr>
                <w:rFonts w:asciiTheme="majorHAnsi" w:hAnsiTheme="majorHAnsi" w:cstheme="majorHAnsi"/>
                <w:sz w:val="20"/>
                <w:szCs w:val="20"/>
                <w:shd w:val="clear" w:color="auto" w:fill="FFFFFF"/>
                <w:lang w:val="lv-LV"/>
              </w:rPr>
              <w:t xml:space="preserve">. </w:t>
            </w:r>
          </w:p>
          <w:p w14:paraId="3F821AB3"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2. Papildināt SNTP2030 grafisko daļu, tajā iekļaujot aktuālo informāciju ar 20kV </w:t>
            </w:r>
            <w:r w:rsidRPr="00940E93">
              <w:rPr>
                <w:rFonts w:asciiTheme="majorHAnsi" w:hAnsiTheme="majorHAnsi" w:cstheme="majorHAnsi"/>
                <w:b/>
                <w:bCs/>
                <w:sz w:val="20"/>
                <w:szCs w:val="20"/>
                <w:shd w:val="clear" w:color="auto" w:fill="FFFFFF"/>
                <w:lang w:val="lv-LV"/>
              </w:rPr>
              <w:t>elektrolīnijām</w:t>
            </w:r>
            <w:r w:rsidRPr="00940E93">
              <w:rPr>
                <w:rFonts w:asciiTheme="majorHAnsi" w:hAnsiTheme="majorHAnsi" w:cstheme="majorHAnsi"/>
                <w:sz w:val="20"/>
                <w:szCs w:val="20"/>
                <w:shd w:val="clear" w:color="auto" w:fill="FFFFFF"/>
                <w:lang w:val="lv-LV"/>
              </w:rPr>
              <w:t xml:space="preserve">. </w:t>
            </w:r>
          </w:p>
          <w:p w14:paraId="7D471725"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3. Papildināt paskaidrojuma raksta 15.tabulu, </w:t>
            </w:r>
            <w:r w:rsidRPr="00940E93">
              <w:rPr>
                <w:rFonts w:asciiTheme="majorHAnsi" w:hAnsiTheme="majorHAnsi" w:cstheme="majorHAnsi"/>
                <w:b/>
                <w:bCs/>
                <w:sz w:val="20"/>
                <w:szCs w:val="20"/>
                <w:shd w:val="clear" w:color="auto" w:fill="FFFFFF"/>
                <w:lang w:val="lv-LV"/>
              </w:rPr>
              <w:t>uzskaitot visas ūdensteces</w:t>
            </w:r>
            <w:r w:rsidRPr="00940E93">
              <w:rPr>
                <w:rFonts w:asciiTheme="majorHAnsi" w:hAnsiTheme="majorHAnsi" w:cstheme="majorHAnsi"/>
                <w:sz w:val="20"/>
                <w:szCs w:val="20"/>
                <w:shd w:val="clear" w:color="auto" w:fill="FFFFFF"/>
                <w:lang w:val="lv-LV"/>
              </w:rPr>
              <w:t xml:space="preserve">, kurām grafiskajā daļā ir iezīmētas virszemes ūdensobjektu aizsargjoslas. </w:t>
            </w:r>
          </w:p>
          <w:p w14:paraId="2B4FE9A4"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4. Papildināt TIAN 92.punktu ar atrunu “[…] un īpaši aizsargājamo dabas teritoriju individuālos aizsardzības un izmantošanas noteikumus”, atgādinot TIAN lietotājiem par </w:t>
            </w:r>
            <w:r w:rsidRPr="00940E93">
              <w:rPr>
                <w:rFonts w:asciiTheme="majorHAnsi" w:hAnsiTheme="majorHAnsi" w:cstheme="majorHAnsi"/>
                <w:b/>
                <w:bCs/>
                <w:sz w:val="20"/>
                <w:szCs w:val="20"/>
                <w:shd w:val="clear" w:color="auto" w:fill="FFFFFF"/>
                <w:lang w:val="lv-LV"/>
              </w:rPr>
              <w:t>ĪADT individuālo noteikumu nozīmi</w:t>
            </w:r>
            <w:r w:rsidRPr="00940E93">
              <w:rPr>
                <w:rFonts w:asciiTheme="majorHAnsi" w:hAnsiTheme="majorHAnsi" w:cstheme="majorHAnsi"/>
                <w:sz w:val="20"/>
                <w:szCs w:val="20"/>
                <w:shd w:val="clear" w:color="auto" w:fill="FFFFFF"/>
                <w:lang w:val="lv-LV"/>
              </w:rPr>
              <w:t xml:space="preserve">. </w:t>
            </w:r>
          </w:p>
          <w:p w14:paraId="33C31484"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5. TIAN 95.4. punktu papildināt ar atrunu “[…] vai Dabas aizsardzības Pārvaldes izsniegtu saskaņojumu par atļauto darbību”. </w:t>
            </w:r>
          </w:p>
          <w:p w14:paraId="5DF6E0EC"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6. Papildināt TIAN 95.6.punktu ar atrunu “[…] nav pretrunā ar īpaši aizsargājamo dabas teritoriju individuālajiem aizsardzības un izmantošanas noteikumiem”, atgādinot TIAN lietotājiem par </w:t>
            </w:r>
            <w:r w:rsidRPr="00940E93">
              <w:rPr>
                <w:rFonts w:asciiTheme="majorHAnsi" w:hAnsiTheme="majorHAnsi" w:cstheme="majorHAnsi"/>
                <w:b/>
                <w:bCs/>
                <w:sz w:val="20"/>
                <w:szCs w:val="20"/>
                <w:shd w:val="clear" w:color="auto" w:fill="FFFFFF"/>
                <w:lang w:val="lv-LV"/>
              </w:rPr>
              <w:t>ĪADT individuālo noteikumu nozīmi</w:t>
            </w:r>
            <w:r w:rsidRPr="00940E93">
              <w:rPr>
                <w:rFonts w:asciiTheme="majorHAnsi" w:hAnsiTheme="majorHAnsi" w:cstheme="majorHAnsi"/>
                <w:sz w:val="20"/>
                <w:szCs w:val="20"/>
                <w:shd w:val="clear" w:color="auto" w:fill="FFFFFF"/>
                <w:lang w:val="lv-LV"/>
              </w:rPr>
              <w:t xml:space="preserve">. </w:t>
            </w:r>
          </w:p>
          <w:p w14:paraId="631F96D3"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7. Papildināt TIAN 354.punktu ar atrunu “[…] un zemes lietošanas kategorijas maiņa[…] ”, atgādinot TIAN lietotājiem par </w:t>
            </w:r>
            <w:r w:rsidRPr="00940E93">
              <w:rPr>
                <w:rFonts w:asciiTheme="majorHAnsi" w:hAnsiTheme="majorHAnsi" w:cstheme="majorHAnsi"/>
                <w:b/>
                <w:bCs/>
                <w:sz w:val="20"/>
                <w:szCs w:val="20"/>
                <w:shd w:val="clear" w:color="auto" w:fill="FFFFFF"/>
                <w:lang w:val="lv-LV"/>
              </w:rPr>
              <w:t>ĪADT individuālo noteikumu nozīmi</w:t>
            </w:r>
            <w:r w:rsidRPr="00940E93">
              <w:rPr>
                <w:rFonts w:asciiTheme="majorHAnsi" w:hAnsiTheme="majorHAnsi" w:cstheme="majorHAnsi"/>
                <w:sz w:val="20"/>
                <w:szCs w:val="20"/>
                <w:shd w:val="clear" w:color="auto" w:fill="FFFFFF"/>
                <w:lang w:val="lv-LV"/>
              </w:rPr>
              <w:t xml:space="preserve">. </w:t>
            </w:r>
          </w:p>
          <w:p w14:paraId="4DE9F55E"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8. Precizēt TIAN 2.pielikumā iekļautās </w:t>
            </w:r>
            <w:r w:rsidRPr="00940E93">
              <w:rPr>
                <w:rFonts w:asciiTheme="majorHAnsi" w:hAnsiTheme="majorHAnsi" w:cstheme="majorHAnsi"/>
                <w:b/>
                <w:bCs/>
                <w:sz w:val="20"/>
                <w:szCs w:val="20"/>
                <w:shd w:val="clear" w:color="auto" w:fill="FFFFFF"/>
                <w:lang w:val="lv-LV"/>
              </w:rPr>
              <w:t>ielas nosaukumu</w:t>
            </w:r>
            <w:r w:rsidRPr="00940E93">
              <w:rPr>
                <w:rFonts w:asciiTheme="majorHAnsi" w:hAnsiTheme="majorHAnsi" w:cstheme="majorHAnsi"/>
                <w:sz w:val="20"/>
                <w:szCs w:val="20"/>
                <w:shd w:val="clear" w:color="auto" w:fill="FFFFFF"/>
                <w:lang w:val="lv-LV"/>
              </w:rPr>
              <w:t>, “</w:t>
            </w:r>
            <w:proofErr w:type="spellStart"/>
            <w:r w:rsidRPr="00940E93">
              <w:rPr>
                <w:rFonts w:asciiTheme="majorHAnsi" w:hAnsiTheme="majorHAnsi" w:cstheme="majorHAnsi"/>
                <w:sz w:val="20"/>
                <w:szCs w:val="20"/>
                <w:shd w:val="clear" w:color="auto" w:fill="FFFFFF"/>
                <w:lang w:val="lv-LV"/>
              </w:rPr>
              <w:t>Kr.Valdemāra</w:t>
            </w:r>
            <w:proofErr w:type="spellEnd"/>
            <w:r w:rsidRPr="00940E93">
              <w:rPr>
                <w:rFonts w:asciiTheme="majorHAnsi" w:hAnsiTheme="majorHAnsi" w:cstheme="majorHAnsi"/>
                <w:sz w:val="20"/>
                <w:szCs w:val="20"/>
                <w:shd w:val="clear" w:color="auto" w:fill="FFFFFF"/>
                <w:lang w:val="lv-LV"/>
              </w:rPr>
              <w:t xml:space="preserve">” un “Mazā </w:t>
            </w:r>
            <w:proofErr w:type="spellStart"/>
            <w:r w:rsidRPr="00940E93">
              <w:rPr>
                <w:rFonts w:asciiTheme="majorHAnsi" w:hAnsiTheme="majorHAnsi" w:cstheme="majorHAnsi"/>
                <w:sz w:val="20"/>
                <w:szCs w:val="20"/>
                <w:shd w:val="clear" w:color="auto" w:fill="FFFFFF"/>
                <w:lang w:val="lv-LV"/>
              </w:rPr>
              <w:t>Kr.Valdemāra</w:t>
            </w:r>
            <w:proofErr w:type="spellEnd"/>
            <w:r w:rsidRPr="00940E93">
              <w:rPr>
                <w:rFonts w:asciiTheme="majorHAnsi" w:hAnsiTheme="majorHAnsi" w:cstheme="majorHAnsi"/>
                <w:sz w:val="20"/>
                <w:szCs w:val="20"/>
                <w:shd w:val="clear" w:color="auto" w:fill="FFFFFF"/>
                <w:lang w:val="lv-LV"/>
              </w:rPr>
              <w:t xml:space="preserve">” izsakot kā “Valdemāra” un “Mazā Valdemāra”. </w:t>
            </w:r>
          </w:p>
          <w:p w14:paraId="2376F363"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9. Nodrošināt Mērnieku ciemā esošo </w:t>
            </w:r>
            <w:r w:rsidRPr="00940E93">
              <w:rPr>
                <w:rFonts w:asciiTheme="majorHAnsi" w:hAnsiTheme="majorHAnsi" w:cstheme="majorHAnsi"/>
                <w:b/>
                <w:bCs/>
                <w:sz w:val="20"/>
                <w:szCs w:val="20"/>
                <w:shd w:val="clear" w:color="auto" w:fill="FFFFFF"/>
                <w:lang w:val="lv-LV"/>
              </w:rPr>
              <w:t>tiltu</w:t>
            </w:r>
            <w:r w:rsidRPr="00940E93">
              <w:rPr>
                <w:rFonts w:asciiTheme="majorHAnsi" w:hAnsiTheme="majorHAnsi" w:cstheme="majorHAnsi"/>
                <w:sz w:val="20"/>
                <w:szCs w:val="20"/>
                <w:shd w:val="clear" w:color="auto" w:fill="FFFFFF"/>
                <w:lang w:val="lv-LV"/>
              </w:rPr>
              <w:t xml:space="preserve"> pār Salacu </w:t>
            </w:r>
            <w:r w:rsidRPr="00940E93">
              <w:rPr>
                <w:rFonts w:asciiTheme="majorHAnsi" w:hAnsiTheme="majorHAnsi" w:cstheme="majorHAnsi"/>
                <w:b/>
                <w:bCs/>
                <w:sz w:val="20"/>
                <w:szCs w:val="20"/>
                <w:shd w:val="clear" w:color="auto" w:fill="FFFFFF"/>
                <w:lang w:val="lv-LV"/>
              </w:rPr>
              <w:t>attēlošanu grafiskajā daļā</w:t>
            </w:r>
            <w:r w:rsidRPr="00940E93">
              <w:rPr>
                <w:rFonts w:asciiTheme="majorHAnsi" w:hAnsiTheme="majorHAnsi" w:cstheme="majorHAnsi"/>
                <w:sz w:val="20"/>
                <w:szCs w:val="20"/>
                <w:shd w:val="clear" w:color="auto" w:fill="FFFFFF"/>
                <w:lang w:val="lv-LV"/>
              </w:rPr>
              <w:t xml:space="preserve">. </w:t>
            </w:r>
          </w:p>
          <w:p w14:paraId="4206D6B6" w14:textId="2563E772"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10. Citu </w:t>
            </w:r>
            <w:r w:rsidRPr="00940E93">
              <w:rPr>
                <w:rFonts w:asciiTheme="majorHAnsi" w:hAnsiTheme="majorHAnsi" w:cstheme="majorHAnsi"/>
                <w:b/>
                <w:bCs/>
                <w:sz w:val="20"/>
                <w:szCs w:val="20"/>
                <w:shd w:val="clear" w:color="auto" w:fill="FFFFFF"/>
                <w:lang w:val="lv-LV"/>
              </w:rPr>
              <w:t>pareizrakstības kļūdu</w:t>
            </w:r>
            <w:r w:rsidRPr="00940E93">
              <w:rPr>
                <w:rFonts w:asciiTheme="majorHAnsi" w:hAnsiTheme="majorHAnsi" w:cstheme="majorHAnsi"/>
                <w:sz w:val="20"/>
                <w:szCs w:val="20"/>
                <w:shd w:val="clear" w:color="auto" w:fill="FFFFFF"/>
                <w:lang w:val="lv-LV"/>
              </w:rPr>
              <w:t xml:space="preserve"> precizēšana TIAN.</w:t>
            </w:r>
          </w:p>
        </w:tc>
      </w:tr>
      <w:tr w:rsidR="00710479" w:rsidRPr="00940E93" w14:paraId="06D19026" w14:textId="77777777" w:rsidTr="004805C1">
        <w:tc>
          <w:tcPr>
            <w:tcW w:w="1423" w:type="pct"/>
          </w:tcPr>
          <w:p w14:paraId="3FD52810" w14:textId="0AA78A09" w:rsidR="00710479" w:rsidRPr="00940E93" w:rsidRDefault="00710479" w:rsidP="00710479">
            <w:pPr>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shd w:val="clear" w:color="auto" w:fill="FFFFFF"/>
                <w:lang w:val="lv-LV"/>
              </w:rPr>
              <w:t>10. Latvijas Republikas Satversmes tiesa ir norādījusi, ka “</w:t>
            </w:r>
            <w:r w:rsidRPr="00940E93">
              <w:rPr>
                <w:rFonts w:asciiTheme="majorHAnsi" w:hAnsiTheme="majorHAnsi" w:cstheme="majorHAnsi"/>
                <w:i/>
                <w:sz w:val="20"/>
                <w:szCs w:val="20"/>
                <w:shd w:val="clear" w:color="auto" w:fill="FFFFFF"/>
                <w:lang w:val="lv-LV"/>
              </w:rPr>
              <w:t>normatīvie akti pašvaldībai piešķir plašu rīcības brīvību (</w:t>
            </w:r>
            <w:proofErr w:type="spellStart"/>
            <w:r w:rsidRPr="00940E93">
              <w:rPr>
                <w:rFonts w:asciiTheme="majorHAnsi" w:hAnsiTheme="majorHAnsi" w:cstheme="majorHAnsi"/>
                <w:i/>
                <w:sz w:val="20"/>
                <w:szCs w:val="20"/>
                <w:shd w:val="clear" w:color="auto" w:fill="FFFFFF"/>
                <w:lang w:val="lv-LV"/>
              </w:rPr>
              <w:t>diskrecionāro</w:t>
            </w:r>
            <w:proofErr w:type="spellEnd"/>
            <w:r w:rsidRPr="00940E93">
              <w:rPr>
                <w:rFonts w:asciiTheme="majorHAnsi" w:hAnsiTheme="majorHAnsi" w:cstheme="majorHAnsi"/>
                <w:i/>
                <w:sz w:val="20"/>
                <w:szCs w:val="20"/>
                <w:shd w:val="clear" w:color="auto" w:fill="FFFFFF"/>
                <w:lang w:val="lv-LV"/>
              </w:rPr>
              <w:t xml:space="preserve"> varu) teritorijas plānojuma satura noteikšanā. Tomēr pašvaldībai piešķirtā rīcības brīvība nav neierobežota. Šī rīcības brīvība tiesiski var tikt izmantota vienīgi tās ārējo robežu ietvaros. Par vadlīnijām rīcības brīvības izmantošanai teritorijas plānošanas jomā ir uzskatāmi </w:t>
            </w:r>
            <w:r w:rsidRPr="00940E93">
              <w:rPr>
                <w:rFonts w:asciiTheme="majorHAnsi" w:hAnsiTheme="majorHAnsi" w:cstheme="majorHAnsi"/>
                <w:i/>
                <w:sz w:val="20"/>
                <w:szCs w:val="20"/>
                <w:shd w:val="clear" w:color="auto" w:fill="FFFFFF"/>
                <w:lang w:val="lv-LV"/>
              </w:rPr>
              <w:lastRenderedPageBreak/>
              <w:t>teritorijas plānošanas principi un vispārējie tiesību principi.” (</w:t>
            </w:r>
            <w:r w:rsidRPr="00940E93">
              <w:rPr>
                <w:rFonts w:asciiTheme="majorHAnsi" w:hAnsiTheme="majorHAnsi" w:cstheme="majorHAnsi"/>
                <w:i/>
                <w:iCs/>
                <w:sz w:val="20"/>
                <w:szCs w:val="20"/>
                <w:shd w:val="clear" w:color="auto" w:fill="FFFFFF"/>
                <w:lang w:val="lv-LV"/>
              </w:rPr>
              <w:t>sk. Satversmes tiesas 2004. gada 9. marta sprieduma lietā Nr. 2003-16-05 secinājumu daļas 5. punktu un 2005. gada 14. decembra sprieduma lietā Nr. 2005-10-03 11. punktu</w:t>
            </w:r>
            <w:r w:rsidRPr="00940E93">
              <w:rPr>
                <w:rFonts w:asciiTheme="majorHAnsi" w:hAnsiTheme="majorHAnsi" w:cstheme="majorHAnsi"/>
                <w:sz w:val="20"/>
                <w:szCs w:val="20"/>
                <w:shd w:val="clear" w:color="auto" w:fill="FFFFFF"/>
                <w:lang w:val="lv-LV"/>
              </w:rPr>
              <w:t xml:space="preserve">). Kā izriet no Latvijas Republikas Satversmes tiesas judikatūras, </w:t>
            </w:r>
            <w:r w:rsidRPr="00940E93">
              <w:rPr>
                <w:rFonts w:asciiTheme="majorHAnsi" w:hAnsiTheme="majorHAnsi" w:cstheme="majorHAnsi"/>
                <w:b/>
                <w:bCs/>
                <w:sz w:val="20"/>
                <w:szCs w:val="20"/>
                <w:shd w:val="clear" w:color="auto" w:fill="FFFFFF"/>
                <w:lang w:val="lv-LV"/>
              </w:rPr>
              <w:t>formālā sabiedrības iesaistīšana</w:t>
            </w:r>
            <w:r w:rsidRPr="00940E93">
              <w:rPr>
                <w:rFonts w:asciiTheme="majorHAnsi" w:hAnsiTheme="majorHAnsi" w:cstheme="majorHAnsi"/>
                <w:sz w:val="20"/>
                <w:szCs w:val="20"/>
                <w:shd w:val="clear" w:color="auto" w:fill="FFFFFF"/>
                <w:lang w:val="lv-LV"/>
              </w:rPr>
              <w:t xml:space="preserve"> teritorijas attīstības plānošanas procesā bez mērķa noskaidrot un izvērtēt sabiedrības viedokli, ir atzīstama par sabiedrības līdzdalības tiesību pārkāpumu.</w:t>
            </w:r>
          </w:p>
        </w:tc>
        <w:tc>
          <w:tcPr>
            <w:tcW w:w="3577" w:type="pct"/>
            <w:gridSpan w:val="3"/>
          </w:tcPr>
          <w:p w14:paraId="6F6EC03B" w14:textId="0C1AABF9"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lastRenderedPageBreak/>
              <w:t>Plānojuma izstrādes laikā organizētas 10 sabiedriskās apspriešanas sanāksmes</w:t>
            </w:r>
            <w:r>
              <w:rPr>
                <w:rFonts w:asciiTheme="majorHAnsi" w:hAnsiTheme="majorHAnsi" w:cstheme="majorHAnsi"/>
                <w:sz w:val="20"/>
                <w:szCs w:val="20"/>
                <w:shd w:val="clear" w:color="auto" w:fill="FFFFFF"/>
                <w:lang w:val="lv-LV"/>
              </w:rPr>
              <w:t xml:space="preserve"> dažādās novada vietās un laikos, lai </w:t>
            </w:r>
            <w:proofErr w:type="spellStart"/>
            <w:r>
              <w:rPr>
                <w:rFonts w:asciiTheme="majorHAnsi" w:hAnsiTheme="majorHAnsi" w:cstheme="majorHAnsi"/>
                <w:sz w:val="20"/>
                <w:szCs w:val="20"/>
                <w:shd w:val="clear" w:color="auto" w:fill="FFFFFF"/>
                <w:lang w:val="lv-LV"/>
              </w:rPr>
              <w:t>nodrošinoatu</w:t>
            </w:r>
            <w:proofErr w:type="spellEnd"/>
            <w:r>
              <w:rPr>
                <w:rFonts w:asciiTheme="majorHAnsi" w:hAnsiTheme="majorHAnsi" w:cstheme="majorHAnsi"/>
                <w:sz w:val="20"/>
                <w:szCs w:val="20"/>
                <w:shd w:val="clear" w:color="auto" w:fill="FFFFFF"/>
                <w:lang w:val="lv-LV"/>
              </w:rPr>
              <w:t xml:space="preserve"> maksimāli lielu iespēju interesentiem piedalīties</w:t>
            </w:r>
            <w:r w:rsidRPr="00940E93">
              <w:rPr>
                <w:rFonts w:asciiTheme="majorHAnsi" w:hAnsiTheme="majorHAnsi" w:cstheme="majorHAnsi"/>
                <w:sz w:val="20"/>
                <w:szCs w:val="20"/>
                <w:shd w:val="clear" w:color="auto" w:fill="FFFFFF"/>
                <w:lang w:val="lv-LV"/>
              </w:rPr>
              <w:t xml:space="preserve">. </w:t>
            </w:r>
            <w:r w:rsidR="00A65614">
              <w:rPr>
                <w:rFonts w:asciiTheme="majorHAnsi" w:hAnsiTheme="majorHAnsi" w:cstheme="majorHAnsi"/>
                <w:sz w:val="20"/>
                <w:szCs w:val="20"/>
                <w:shd w:val="clear" w:color="auto" w:fill="FFFFFF"/>
                <w:lang w:val="lv-LV"/>
              </w:rPr>
              <w:t>Nav saprotama komentāra būtība</w:t>
            </w:r>
            <w:r w:rsidR="00696547">
              <w:rPr>
                <w:rFonts w:asciiTheme="majorHAnsi" w:hAnsiTheme="majorHAnsi" w:cstheme="majorHAnsi"/>
                <w:sz w:val="20"/>
                <w:szCs w:val="20"/>
                <w:shd w:val="clear" w:color="auto" w:fill="FFFFFF"/>
                <w:lang w:val="lv-LV"/>
              </w:rPr>
              <w:t xml:space="preserve"> – kas no plānojuma izstrādes laikā organizētajām sabiedriskās apspriešanas sanāksmēm uzskatāms par formālu sabiedrības iesaisti??</w:t>
            </w:r>
            <w:r w:rsidR="00A65614">
              <w:rPr>
                <w:rFonts w:asciiTheme="majorHAnsi" w:hAnsiTheme="majorHAnsi" w:cstheme="majorHAnsi"/>
                <w:sz w:val="20"/>
                <w:szCs w:val="20"/>
                <w:shd w:val="clear" w:color="auto" w:fill="FFFFFF"/>
                <w:lang w:val="lv-LV"/>
              </w:rPr>
              <w:t xml:space="preserve"> </w:t>
            </w:r>
          </w:p>
        </w:tc>
      </w:tr>
      <w:tr w:rsidR="00710479" w:rsidRPr="00940E93" w14:paraId="38862906" w14:textId="1B67D2A5" w:rsidTr="00A65614">
        <w:tc>
          <w:tcPr>
            <w:tcW w:w="1423" w:type="pct"/>
          </w:tcPr>
          <w:p w14:paraId="18CE3DCC" w14:textId="0FAE6F42" w:rsidR="00710479" w:rsidRPr="00940E93" w:rsidRDefault="00710479" w:rsidP="00710479">
            <w:pPr>
              <w:widowControl/>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shd w:val="clear" w:color="auto" w:fill="FFFFFF"/>
                <w:lang w:val="lv-LV"/>
              </w:rPr>
              <w:t>Dome ir</w:t>
            </w:r>
            <w:r w:rsidRPr="00940E93">
              <w:rPr>
                <w:rFonts w:asciiTheme="majorHAnsi" w:hAnsiTheme="majorHAnsi" w:cstheme="majorHAnsi"/>
                <w:sz w:val="20"/>
                <w:szCs w:val="20"/>
                <w:lang w:val="lv-LV"/>
              </w:rPr>
              <w:t xml:space="preserve"> izstrādājusi normas, kuru regulējums ir pretrunā augstāka spēka normatīvajiem aktiem.</w:t>
            </w:r>
            <w:r w:rsidRPr="00940E93">
              <w:rPr>
                <w:rStyle w:val="FootnoteReference"/>
                <w:rFonts w:asciiTheme="majorHAnsi" w:hAnsiTheme="majorHAnsi" w:cstheme="majorHAnsi"/>
                <w:sz w:val="20"/>
                <w:szCs w:val="20"/>
                <w:lang w:val="lv-LV"/>
              </w:rPr>
              <w:footnoteReference w:id="3"/>
            </w:r>
            <w:r w:rsidRPr="00940E93">
              <w:rPr>
                <w:rFonts w:asciiTheme="majorHAnsi" w:hAnsiTheme="majorHAnsi" w:cstheme="majorHAnsi"/>
                <w:sz w:val="20"/>
                <w:szCs w:val="20"/>
                <w:lang w:val="lv-LV"/>
              </w:rPr>
              <w:t xml:space="preserve"> Tāpat Salacgrīvas novada TP ir noteiktas prasības, kas ir citu saistošo noteikumu prasības</w:t>
            </w:r>
            <w:r w:rsidRPr="00940E93">
              <w:rPr>
                <w:rStyle w:val="FootnoteReference"/>
                <w:rFonts w:asciiTheme="majorHAnsi" w:hAnsiTheme="majorHAnsi" w:cstheme="majorHAnsi"/>
                <w:sz w:val="20"/>
                <w:szCs w:val="20"/>
                <w:lang w:val="lv-LV"/>
              </w:rPr>
              <w:footnoteReference w:id="4"/>
            </w:r>
            <w:r w:rsidRPr="00940E93">
              <w:rPr>
                <w:rFonts w:asciiTheme="majorHAnsi" w:hAnsiTheme="majorHAnsi" w:cstheme="majorHAnsi"/>
                <w:sz w:val="20"/>
                <w:szCs w:val="20"/>
                <w:lang w:val="lv-LV"/>
              </w:rPr>
              <w:t>, kā arī nav ņemtas vērā likuma “Par pašvaldībām” 45.panta kārtībā apstiprināto Domes saistošo noteikumu prasības</w:t>
            </w:r>
            <w:r w:rsidRPr="00940E93">
              <w:rPr>
                <w:rStyle w:val="FootnoteReference"/>
                <w:rFonts w:asciiTheme="majorHAnsi" w:hAnsiTheme="majorHAnsi" w:cstheme="majorHAnsi"/>
                <w:sz w:val="20"/>
                <w:szCs w:val="20"/>
                <w:lang w:val="lv-LV"/>
              </w:rPr>
              <w:footnoteReference w:id="5"/>
            </w:r>
            <w:r w:rsidRPr="00940E93">
              <w:rPr>
                <w:rFonts w:asciiTheme="majorHAnsi" w:hAnsiTheme="majorHAnsi" w:cstheme="majorHAnsi"/>
                <w:sz w:val="20"/>
                <w:szCs w:val="20"/>
                <w:lang w:val="lv-LV"/>
              </w:rPr>
              <w:t>;</w:t>
            </w:r>
          </w:p>
        </w:tc>
        <w:tc>
          <w:tcPr>
            <w:tcW w:w="1080" w:type="pct"/>
          </w:tcPr>
          <w:p w14:paraId="1F3A299C"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rPr>
            </w:pPr>
            <w:r w:rsidRPr="00940E93">
              <w:rPr>
                <w:rFonts w:asciiTheme="majorHAnsi" w:hAnsiTheme="majorHAnsi" w:cstheme="majorHAnsi"/>
                <w:sz w:val="20"/>
                <w:szCs w:val="20"/>
              </w:rPr>
              <w:t xml:space="preserve">25. </w:t>
            </w:r>
            <w:proofErr w:type="spellStart"/>
            <w:r w:rsidRPr="00940E93">
              <w:rPr>
                <w:rFonts w:asciiTheme="majorHAnsi" w:hAnsiTheme="majorHAnsi" w:cstheme="majorHAnsi"/>
                <w:sz w:val="20"/>
                <w:szCs w:val="20"/>
              </w:rPr>
              <w:t>Jaunveidojamas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zemes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vienības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minimālajā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platībā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netiek</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ieskaitīta</w:t>
            </w:r>
            <w:proofErr w:type="spellEnd"/>
            <w:r w:rsidRPr="00940E93">
              <w:rPr>
                <w:rFonts w:asciiTheme="majorHAnsi" w:hAnsiTheme="majorHAnsi" w:cstheme="majorHAnsi"/>
                <w:sz w:val="20"/>
                <w:szCs w:val="20"/>
              </w:rPr>
              <w:t xml:space="preserve">: </w:t>
            </w:r>
          </w:p>
          <w:p w14:paraId="5BE36E5A" w14:textId="53AC976E" w:rsidR="00710479" w:rsidRPr="00940E93" w:rsidRDefault="00710479" w:rsidP="00710479">
            <w:pPr>
              <w:tabs>
                <w:tab w:val="left" w:pos="426"/>
              </w:tabs>
              <w:spacing w:after="0" w:line="240" w:lineRule="auto"/>
              <w:jc w:val="both"/>
              <w:rPr>
                <w:rFonts w:asciiTheme="majorHAnsi" w:hAnsiTheme="majorHAnsi" w:cstheme="majorHAnsi"/>
                <w:sz w:val="20"/>
                <w:szCs w:val="20"/>
              </w:rPr>
            </w:pPr>
            <w:r w:rsidRPr="00940E93">
              <w:rPr>
                <w:rFonts w:asciiTheme="majorHAnsi" w:hAnsiTheme="majorHAnsi" w:cstheme="majorHAnsi"/>
                <w:sz w:val="20"/>
                <w:szCs w:val="20"/>
              </w:rPr>
              <w:t xml:space="preserve">25.1. </w:t>
            </w:r>
            <w:proofErr w:type="spellStart"/>
            <w:r w:rsidRPr="00940E93">
              <w:rPr>
                <w:rFonts w:asciiTheme="majorHAnsi" w:hAnsiTheme="majorHAnsi" w:cstheme="majorHAnsi"/>
                <w:sz w:val="20"/>
                <w:szCs w:val="20"/>
              </w:rPr>
              <w:t>zemes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vienības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daļa</w:t>
            </w:r>
            <w:proofErr w:type="spellEnd"/>
            <w:r w:rsidRPr="00940E93">
              <w:rPr>
                <w:rFonts w:asciiTheme="majorHAnsi" w:hAnsiTheme="majorHAnsi" w:cstheme="majorHAnsi"/>
                <w:sz w:val="20"/>
                <w:szCs w:val="20"/>
              </w:rPr>
              <w:t xml:space="preserve">, kas </w:t>
            </w:r>
            <w:proofErr w:type="spellStart"/>
            <w:r w:rsidRPr="00940E93">
              <w:rPr>
                <w:rFonts w:asciiTheme="majorHAnsi" w:hAnsiTheme="majorHAnsi" w:cstheme="majorHAnsi"/>
                <w:sz w:val="20"/>
                <w:szCs w:val="20"/>
              </w:rPr>
              <w:t>atrodas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ielu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vai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ceļu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sarkano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līniju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robežās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kā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arī</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citu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apbūvi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nodrošinošo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objektu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platība</w:t>
            </w:r>
            <w:proofErr w:type="spellEnd"/>
            <w:r w:rsidRPr="00940E93">
              <w:rPr>
                <w:rFonts w:asciiTheme="majorHAnsi" w:hAnsiTheme="majorHAnsi" w:cstheme="majorHAnsi"/>
                <w:sz w:val="20"/>
                <w:szCs w:val="20"/>
              </w:rPr>
              <w:t xml:space="preserve">, kas </w:t>
            </w:r>
            <w:proofErr w:type="spellStart"/>
            <w:r w:rsidRPr="00940E93">
              <w:rPr>
                <w:rFonts w:asciiTheme="majorHAnsi" w:hAnsiTheme="majorHAnsi" w:cstheme="majorHAnsi"/>
                <w:sz w:val="20"/>
                <w:szCs w:val="20"/>
              </w:rPr>
              <w:t>saistīta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koplietošanu</w:t>
            </w:r>
            <w:proofErr w:type="spellEnd"/>
            <w:r w:rsidRPr="00940E93">
              <w:rPr>
                <w:rFonts w:asciiTheme="majorHAnsi" w:hAnsiTheme="majorHAnsi" w:cstheme="majorHAnsi"/>
                <w:sz w:val="20"/>
                <w:szCs w:val="20"/>
              </w:rPr>
              <w:t>.</w:t>
            </w:r>
          </w:p>
          <w:p w14:paraId="776408A5"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rPr>
            </w:pPr>
            <w:r w:rsidRPr="00940E93">
              <w:rPr>
                <w:rFonts w:asciiTheme="majorHAnsi" w:hAnsiTheme="majorHAnsi" w:cstheme="majorHAnsi"/>
                <w:sz w:val="20"/>
                <w:szCs w:val="20"/>
              </w:rPr>
              <w:t xml:space="preserve">40.3. </w:t>
            </w:r>
            <w:proofErr w:type="spellStart"/>
            <w:r w:rsidRPr="00940E93">
              <w:rPr>
                <w:rFonts w:asciiTheme="majorHAnsi" w:hAnsiTheme="majorHAnsi" w:cstheme="majorHAnsi"/>
                <w:sz w:val="20"/>
                <w:szCs w:val="20"/>
              </w:rPr>
              <w:t>Daudzdzīvokļu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nama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dzīvoklī</w:t>
            </w:r>
            <w:proofErr w:type="spellEnd"/>
            <w:r w:rsidRPr="00940E93">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aizliegts</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patvaļīgi</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veikt</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radiatoru</w:t>
            </w:r>
            <w:proofErr w:type="spellEnd"/>
            <w:r w:rsidRPr="004805C1">
              <w:rPr>
                <w:rFonts w:asciiTheme="majorHAnsi" w:hAnsiTheme="majorHAnsi" w:cstheme="majorHAnsi"/>
                <w:sz w:val="20"/>
                <w:szCs w:val="20"/>
              </w:rPr>
              <w:t xml:space="preserve"> un </w:t>
            </w:r>
            <w:proofErr w:type="spellStart"/>
            <w:r w:rsidRPr="004805C1">
              <w:rPr>
                <w:rFonts w:asciiTheme="majorHAnsi" w:hAnsiTheme="majorHAnsi" w:cstheme="majorHAnsi"/>
                <w:sz w:val="20"/>
                <w:szCs w:val="20"/>
              </w:rPr>
              <w:t>citu</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sildķermeņu</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maiņu</w:t>
            </w:r>
            <w:proofErr w:type="spellEnd"/>
            <w:r w:rsidRPr="00940E93">
              <w:rPr>
                <w:rFonts w:asciiTheme="majorHAnsi" w:hAnsiTheme="majorHAnsi" w:cstheme="majorHAnsi"/>
                <w:sz w:val="20"/>
                <w:szCs w:val="20"/>
              </w:rPr>
              <w:t xml:space="preserve">. </w:t>
            </w:r>
          </w:p>
          <w:p w14:paraId="3B258C7B" w14:textId="38357F5E"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rPr>
              <w:t xml:space="preserve">40.4. </w:t>
            </w:r>
            <w:proofErr w:type="spellStart"/>
            <w:r w:rsidRPr="00940E93">
              <w:rPr>
                <w:rFonts w:asciiTheme="majorHAnsi" w:hAnsiTheme="majorHAnsi" w:cstheme="majorHAnsi"/>
                <w:sz w:val="20"/>
                <w:szCs w:val="20"/>
              </w:rPr>
              <w:t>Daudzdzīvokļu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nama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dzīvoklī</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radiatoru</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citu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sildķermeņu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maiņa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atļauta</w:t>
            </w:r>
            <w:proofErr w:type="spellEnd"/>
            <w:r w:rsidRPr="00940E93">
              <w:rPr>
                <w:rFonts w:asciiTheme="majorHAnsi" w:hAnsiTheme="majorHAnsi" w:cstheme="majorHAnsi"/>
                <w:sz w:val="20"/>
                <w:szCs w:val="20"/>
              </w:rPr>
              <w:t xml:space="preserve">, ja </w:t>
            </w:r>
            <w:proofErr w:type="spellStart"/>
            <w:r w:rsidRPr="00940E93">
              <w:rPr>
                <w:rFonts w:asciiTheme="majorHAnsi" w:hAnsiTheme="majorHAnsi" w:cstheme="majorHAnsi"/>
                <w:sz w:val="20"/>
                <w:szCs w:val="20"/>
              </w:rPr>
              <w:t>ir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saņemts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saskaņojums</w:t>
            </w:r>
            <w:proofErr w:type="spellEnd"/>
            <w:r w:rsidRPr="00940E93">
              <w:rPr>
                <w:rFonts w:asciiTheme="majorHAnsi" w:hAnsiTheme="majorHAnsi" w:cstheme="majorHAnsi"/>
                <w:sz w:val="20"/>
                <w:szCs w:val="20"/>
              </w:rPr>
              <w:t xml:space="preserve"> Salacgrīvas novada </w:t>
            </w:r>
            <w:proofErr w:type="spellStart"/>
            <w:r w:rsidRPr="00940E93">
              <w:rPr>
                <w:rFonts w:asciiTheme="majorHAnsi" w:hAnsiTheme="majorHAnsi" w:cstheme="majorHAnsi"/>
                <w:sz w:val="20"/>
                <w:szCs w:val="20"/>
              </w:rPr>
              <w:t>būvvaldē</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Atbilstošas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jomas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būvspeciālists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sagatavo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siltumtīklu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pārbūves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shēmu</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siltumtehnisko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aprēķinu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saskaņo</w:t>
            </w:r>
            <w:proofErr w:type="spellEnd"/>
            <w:r w:rsidRPr="00940E93">
              <w:rPr>
                <w:rFonts w:asciiTheme="majorHAnsi" w:hAnsiTheme="majorHAnsi" w:cstheme="majorHAnsi"/>
                <w:sz w:val="20"/>
                <w:szCs w:val="20"/>
              </w:rPr>
              <w:t xml:space="preserve"> to </w:t>
            </w:r>
            <w:proofErr w:type="spellStart"/>
            <w:r w:rsidRPr="00940E93">
              <w:rPr>
                <w:rFonts w:asciiTheme="majorHAnsi" w:hAnsiTheme="majorHAnsi" w:cstheme="majorHAnsi"/>
                <w:sz w:val="20"/>
                <w:szCs w:val="20"/>
              </w:rPr>
              <w:t>ar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ieceres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ierosinātāju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mājas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pārvaldnieku</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siltumapgādes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tīklu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apsaimniekotāju</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iesniedz</w:t>
            </w:r>
            <w:proofErr w:type="spellEnd"/>
            <w:r w:rsidRPr="00940E93">
              <w:rPr>
                <w:rFonts w:asciiTheme="majorHAnsi" w:hAnsiTheme="majorHAnsi" w:cstheme="majorHAnsi"/>
                <w:sz w:val="20"/>
                <w:szCs w:val="20"/>
              </w:rPr>
              <w:t xml:space="preserve"> to </w:t>
            </w:r>
            <w:proofErr w:type="spellStart"/>
            <w:r w:rsidRPr="00940E93">
              <w:rPr>
                <w:rFonts w:asciiTheme="majorHAnsi" w:hAnsiTheme="majorHAnsi" w:cstheme="majorHAnsi"/>
                <w:sz w:val="20"/>
                <w:szCs w:val="20"/>
              </w:rPr>
              <w:t>saskaņošanai</w:t>
            </w:r>
            <w:proofErr w:type="spellEnd"/>
            <w:r w:rsidRPr="00940E93">
              <w:rPr>
                <w:rFonts w:asciiTheme="majorHAnsi" w:hAnsiTheme="majorHAnsi" w:cstheme="majorHAnsi"/>
                <w:sz w:val="20"/>
                <w:szCs w:val="20"/>
              </w:rPr>
              <w:t xml:space="preserve"> Salacgrīvas novada </w:t>
            </w:r>
            <w:proofErr w:type="spellStart"/>
            <w:r w:rsidRPr="00940E93">
              <w:rPr>
                <w:rFonts w:asciiTheme="majorHAnsi" w:hAnsiTheme="majorHAnsi" w:cstheme="majorHAnsi"/>
                <w:sz w:val="20"/>
                <w:szCs w:val="20"/>
              </w:rPr>
              <w:lastRenderedPageBreak/>
              <w:t>būvvaldē</w:t>
            </w:r>
            <w:proofErr w:type="spellEnd"/>
            <w:r w:rsidRPr="00940E93">
              <w:rPr>
                <w:rFonts w:asciiTheme="majorHAnsi" w:hAnsiTheme="majorHAnsi" w:cstheme="majorHAnsi"/>
                <w:sz w:val="20"/>
                <w:szCs w:val="20"/>
              </w:rPr>
              <w:t>.</w:t>
            </w:r>
          </w:p>
        </w:tc>
        <w:tc>
          <w:tcPr>
            <w:tcW w:w="2497" w:type="pct"/>
            <w:gridSpan w:val="2"/>
          </w:tcPr>
          <w:p w14:paraId="3ECFF5EB" w14:textId="0B1DE6A8"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lastRenderedPageBreak/>
              <w:t xml:space="preserve">MK 240 10 punkts nosaka, ka “Pašvaldība teritorijas plānojumā vai lokālplānojumā var noteikt </w:t>
            </w:r>
            <w:proofErr w:type="spellStart"/>
            <w:r w:rsidRPr="00940E93">
              <w:rPr>
                <w:rFonts w:asciiTheme="majorHAnsi" w:hAnsiTheme="majorHAnsi" w:cstheme="majorHAnsi"/>
                <w:sz w:val="20"/>
                <w:szCs w:val="20"/>
                <w:shd w:val="clear" w:color="auto" w:fill="FFFFFF"/>
                <w:lang w:val="lv-LV"/>
              </w:rPr>
              <w:t>jaunveidojamo</w:t>
            </w:r>
            <w:proofErr w:type="spellEnd"/>
            <w:r w:rsidRPr="00940E93">
              <w:rPr>
                <w:rFonts w:asciiTheme="majorHAnsi" w:hAnsiTheme="majorHAnsi" w:cstheme="majorHAnsi"/>
                <w:sz w:val="20"/>
                <w:szCs w:val="20"/>
                <w:shd w:val="clear" w:color="auto" w:fill="FFFFFF"/>
                <w:lang w:val="lv-LV"/>
              </w:rPr>
              <w:t xml:space="preserve"> zemes vienību minimālo platību, kā arī pieļaujamās atkāpes no tās.”</w:t>
            </w:r>
          </w:p>
          <w:p w14:paraId="4B1A0EB0"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7908C533" w14:textId="162F5E7E"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TIAN ir tikai atsauce uz šiem noteikumiem, taču netiek dublēti. Nav konkrēti norādīts pārkāpums ir vispārīgi secinājumi, kas nav pamatoti.</w:t>
            </w:r>
          </w:p>
        </w:tc>
      </w:tr>
      <w:tr w:rsidR="00710479" w:rsidRPr="00940E93" w14:paraId="2D9A3299" w14:textId="60823DBF" w:rsidTr="00A65614">
        <w:tc>
          <w:tcPr>
            <w:tcW w:w="1423" w:type="pct"/>
          </w:tcPr>
          <w:p w14:paraId="0DE09570" w14:textId="19023E42"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40.3. un 40.4.apakšpunkts ir pretrunā kārtībai, kādā veidā veicama apkures inženiertīklu un sildķermeņu būvniecība atbilstoši Ministru kabineta 2017.gada 9.maija noteikumiem Nr.253 “Atsevišķu inženierbūvju būvnoteikumi”;</w:t>
            </w:r>
          </w:p>
        </w:tc>
        <w:tc>
          <w:tcPr>
            <w:tcW w:w="1080" w:type="pct"/>
          </w:tcPr>
          <w:p w14:paraId="7BD19D6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338FC58B" w14:textId="244D7C9A"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Pr>
                <w:rFonts w:asciiTheme="majorHAnsi" w:hAnsiTheme="majorHAnsi" w:cstheme="majorHAnsi"/>
                <w:sz w:val="20"/>
                <w:szCs w:val="20"/>
                <w:shd w:val="clear" w:color="auto" w:fill="FFFFFF"/>
              </w:rPr>
              <w:t xml:space="preserve">Tie nav </w:t>
            </w:r>
            <w:proofErr w:type="spellStart"/>
            <w:r>
              <w:rPr>
                <w:rFonts w:asciiTheme="majorHAnsi" w:hAnsiTheme="majorHAnsi" w:cstheme="majorHAnsi"/>
                <w:sz w:val="20"/>
                <w:szCs w:val="20"/>
                <w:shd w:val="clear" w:color="auto" w:fill="FFFFFF"/>
              </w:rPr>
              <w:t>pretrunā</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taču</w:t>
            </w:r>
            <w:proofErr w:type="spellEnd"/>
            <w:r>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saskaņojums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būvvaldē</w:t>
            </w:r>
            <w:proofErr w:type="spellEnd"/>
            <w:r w:rsidRPr="00940E93">
              <w:rPr>
                <w:rFonts w:asciiTheme="majorHAnsi" w:hAnsiTheme="majorHAnsi" w:cstheme="majorHAnsi"/>
                <w:sz w:val="20"/>
                <w:szCs w:val="20"/>
                <w:shd w:val="clear" w:color="auto" w:fill="FFFFFF"/>
              </w:rPr>
              <w:t xml:space="preserve"> nav </w:t>
            </w:r>
            <w:proofErr w:type="spellStart"/>
            <w:r w:rsidRPr="00940E93">
              <w:rPr>
                <w:rFonts w:asciiTheme="majorHAnsi" w:hAnsiTheme="majorHAnsi" w:cstheme="majorHAnsi"/>
                <w:sz w:val="20"/>
                <w:szCs w:val="20"/>
                <w:shd w:val="clear" w:color="auto" w:fill="FFFFFF"/>
              </w:rPr>
              <w:t>nepieciešams</w:t>
            </w:r>
            <w:proofErr w:type="spellEnd"/>
            <w:r>
              <w:rPr>
                <w:rFonts w:asciiTheme="majorHAnsi" w:hAnsiTheme="majorHAnsi" w:cstheme="majorHAnsi"/>
                <w:sz w:val="20"/>
                <w:szCs w:val="20"/>
                <w:shd w:val="clear" w:color="auto" w:fill="FFFFFF"/>
              </w:rPr>
              <w:t>,</w:t>
            </w:r>
            <w:r w:rsidRPr="00940E93">
              <w:rPr>
                <w:rFonts w:asciiTheme="majorHAnsi" w:hAnsiTheme="majorHAnsi" w:cstheme="majorHAnsi"/>
                <w:sz w:val="20"/>
                <w:szCs w:val="20"/>
                <w:shd w:val="clear" w:color="auto" w:fill="FFFFFF"/>
              </w:rPr>
              <w:t xml:space="preserve"> jo nav </w:t>
            </w:r>
            <w:proofErr w:type="spellStart"/>
            <w:r w:rsidRPr="00940E93">
              <w:rPr>
                <w:rFonts w:asciiTheme="majorHAnsi" w:hAnsiTheme="majorHAnsi" w:cstheme="majorHAnsi"/>
                <w:sz w:val="20"/>
                <w:szCs w:val="20"/>
                <w:shd w:val="clear" w:color="auto" w:fill="FFFFFF"/>
              </w:rPr>
              <w:t>būvniecības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procesa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sastāvdaļa</w:t>
            </w:r>
            <w:proofErr w:type="spellEnd"/>
            <w:r w:rsidRPr="00940E93">
              <w:rPr>
                <w:rFonts w:asciiTheme="majorHAnsi" w:hAnsiTheme="majorHAnsi" w:cstheme="majorHAnsi"/>
                <w:sz w:val="20"/>
                <w:szCs w:val="20"/>
                <w:shd w:val="clear" w:color="auto" w:fill="FFFFFF"/>
              </w:rPr>
              <w:t xml:space="preserve">, bet </w:t>
            </w:r>
            <w:proofErr w:type="spellStart"/>
            <w:r w:rsidRPr="00940E93">
              <w:rPr>
                <w:rFonts w:asciiTheme="majorHAnsi" w:hAnsiTheme="majorHAnsi" w:cstheme="majorHAnsi"/>
                <w:sz w:val="20"/>
                <w:szCs w:val="20"/>
                <w:shd w:val="clear" w:color="auto" w:fill="FFFFFF"/>
              </w:rPr>
              <w:t>ir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jāskaņo</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attiecīgo</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iestādi</w:t>
            </w:r>
            <w:proofErr w:type="spellEnd"/>
            <w:r w:rsidRPr="00940E93">
              <w:rPr>
                <w:rFonts w:asciiTheme="majorHAnsi" w:hAnsiTheme="majorHAnsi" w:cstheme="majorHAnsi"/>
                <w:sz w:val="20"/>
                <w:szCs w:val="20"/>
                <w:shd w:val="clear" w:color="auto" w:fill="FFFFFF"/>
              </w:rPr>
              <w:t xml:space="preserve">, kas </w:t>
            </w:r>
            <w:proofErr w:type="spellStart"/>
            <w:r w:rsidRPr="00940E93">
              <w:rPr>
                <w:rFonts w:asciiTheme="majorHAnsi" w:hAnsiTheme="majorHAnsi" w:cstheme="majorHAnsi"/>
                <w:sz w:val="20"/>
                <w:szCs w:val="20"/>
                <w:shd w:val="clear" w:color="auto" w:fill="FFFFFF"/>
              </w:rPr>
              <w:t>atbild</w:t>
            </w:r>
            <w:proofErr w:type="spellEnd"/>
            <w:r w:rsidRPr="00940E93">
              <w:rPr>
                <w:rFonts w:asciiTheme="majorHAnsi" w:hAnsiTheme="majorHAnsi" w:cstheme="majorHAnsi"/>
                <w:sz w:val="20"/>
                <w:szCs w:val="20"/>
                <w:shd w:val="clear" w:color="auto" w:fill="FFFFFF"/>
              </w:rPr>
              <w:t xml:space="preserve"> par </w:t>
            </w:r>
            <w:proofErr w:type="spellStart"/>
            <w:r w:rsidRPr="00940E93">
              <w:rPr>
                <w:rFonts w:asciiTheme="majorHAnsi" w:hAnsiTheme="majorHAnsi" w:cstheme="majorHAnsi"/>
                <w:sz w:val="20"/>
                <w:szCs w:val="20"/>
                <w:shd w:val="clear" w:color="auto" w:fill="FFFFFF"/>
              </w:rPr>
              <w:t>koplietošanas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sistēmas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uzturēsanu</w:t>
            </w:r>
            <w:proofErr w:type="spellEnd"/>
            <w:r>
              <w:rPr>
                <w:rFonts w:asciiTheme="majorHAnsi" w:hAnsiTheme="majorHAnsi" w:cstheme="majorHAnsi"/>
                <w:sz w:val="20"/>
                <w:szCs w:val="20"/>
                <w:shd w:val="clear" w:color="auto" w:fill="FFFFFF"/>
              </w:rPr>
              <w:t>.</w:t>
            </w:r>
          </w:p>
        </w:tc>
        <w:tc>
          <w:tcPr>
            <w:tcW w:w="1711" w:type="pct"/>
          </w:tcPr>
          <w:p w14:paraId="4D01177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Minētajos punktos neiet runa par jaunu siltumapgādes tīklu būvniecību vai pārbūvi. </w:t>
            </w:r>
          </w:p>
          <w:p w14:paraId="3DED532C"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Dzīvojamo, t.sk. daudzdzīvokļu namu, un publisko ēku apkures būvniecību nosaka citi MK noteikumi: </w:t>
            </w:r>
          </w:p>
          <w:p w14:paraId="7F87AAEA" w14:textId="549C81E5"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MK 2015.gada 16.jūnija noteikumi Nr.310 Noteikumi par Latvijas būvnormatīvu LBN 231-15 "Dzīvojamo un publisko ēku apkure un ventilācija". Šajos MK noteikumos nav atrunātas darbības sildķermeņu (radiatoru) maiņai, tāpēc tie tiek atrunāti TIAN. Tā kā sildķermeņu maiņa var būtiski ietekmēt visas daudzdzīvokļu ēkas kopējo apkures sistēmu, to pavaļīga nomaiņa ir nepieļaujama.</w:t>
            </w:r>
          </w:p>
        </w:tc>
      </w:tr>
      <w:tr w:rsidR="00710479" w:rsidRPr="00940E93" w14:paraId="29AE992E" w14:textId="12B4CDBE" w:rsidTr="00A65614">
        <w:tc>
          <w:tcPr>
            <w:tcW w:w="1423" w:type="pct"/>
          </w:tcPr>
          <w:p w14:paraId="0F93EDE7" w14:textId="18F7CE36"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 xml:space="preserve">45.5.apakšpunkts, jo spēkā esošais normatīvais regulējums nenoteic tādu parametru kā </w:t>
            </w:r>
            <w:r w:rsidRPr="00170C81">
              <w:rPr>
                <w:rFonts w:asciiTheme="majorHAnsi" w:hAnsiTheme="majorHAnsi" w:cstheme="majorHAnsi"/>
                <w:b/>
                <w:bCs/>
                <w:sz w:val="20"/>
                <w:szCs w:val="20"/>
                <w:lang w:val="lv-LV"/>
              </w:rPr>
              <w:t>apbūves līnija</w:t>
            </w:r>
            <w:r w:rsidRPr="00940E93">
              <w:rPr>
                <w:rFonts w:asciiTheme="majorHAnsi" w:hAnsiTheme="majorHAnsi" w:cstheme="majorHAnsi"/>
                <w:sz w:val="20"/>
                <w:szCs w:val="20"/>
                <w:lang w:val="lv-LV"/>
              </w:rPr>
              <w:t xml:space="preserve">. Būves izvietošanu gar ielu vai autoceļu ierobežo </w:t>
            </w:r>
            <w:proofErr w:type="spellStart"/>
            <w:r w:rsidRPr="00940E93">
              <w:rPr>
                <w:rFonts w:asciiTheme="majorHAnsi" w:hAnsiTheme="majorHAnsi" w:cstheme="majorHAnsi"/>
                <w:sz w:val="20"/>
                <w:szCs w:val="20"/>
                <w:lang w:val="lv-LV"/>
              </w:rPr>
              <w:t>būvlaide</w:t>
            </w:r>
            <w:proofErr w:type="spellEnd"/>
            <w:r w:rsidRPr="00940E93">
              <w:rPr>
                <w:rFonts w:asciiTheme="majorHAnsi" w:hAnsiTheme="majorHAnsi" w:cstheme="majorHAnsi"/>
                <w:sz w:val="20"/>
                <w:szCs w:val="20"/>
                <w:vertAlign w:val="superscript"/>
                <w:lang w:val="lv-LV"/>
              </w:rPr>
              <w:footnoteReference w:id="6"/>
            </w:r>
            <w:r w:rsidRPr="00940E93">
              <w:rPr>
                <w:rFonts w:asciiTheme="majorHAnsi" w:hAnsiTheme="majorHAnsi" w:cstheme="majorHAnsi"/>
                <w:sz w:val="20"/>
                <w:szCs w:val="20"/>
                <w:lang w:val="lv-LV"/>
              </w:rPr>
              <w:t>, savukārt gar zemes vienības robežu minimālo attālumu noteic Latvijas Republikas Civillikums</w:t>
            </w:r>
            <w:r w:rsidRPr="00940E93">
              <w:rPr>
                <w:rFonts w:asciiTheme="majorHAnsi" w:hAnsiTheme="majorHAnsi" w:cstheme="majorHAnsi"/>
                <w:sz w:val="20"/>
                <w:szCs w:val="20"/>
                <w:vertAlign w:val="superscript"/>
                <w:lang w:val="lv-LV"/>
              </w:rPr>
              <w:footnoteReference w:id="7"/>
            </w:r>
            <w:r w:rsidRPr="00940E93">
              <w:rPr>
                <w:rFonts w:asciiTheme="majorHAnsi" w:hAnsiTheme="majorHAnsi" w:cstheme="majorHAnsi"/>
                <w:sz w:val="20"/>
                <w:szCs w:val="20"/>
                <w:lang w:val="lv-LV"/>
              </w:rPr>
              <w:t>. Tāpat gar virszemes ūdensobjektiem un meliorācijas grāvjiem tiek noteikta aizsargjosla</w:t>
            </w:r>
            <w:r w:rsidRPr="00940E93">
              <w:rPr>
                <w:rFonts w:asciiTheme="majorHAnsi" w:hAnsiTheme="majorHAnsi" w:cstheme="majorHAnsi"/>
                <w:sz w:val="20"/>
                <w:szCs w:val="20"/>
                <w:vertAlign w:val="superscript"/>
                <w:lang w:val="lv-LV"/>
              </w:rPr>
              <w:footnoteReference w:id="8"/>
            </w:r>
            <w:r w:rsidRPr="00940E93">
              <w:rPr>
                <w:rFonts w:asciiTheme="majorHAnsi" w:hAnsiTheme="majorHAnsi" w:cstheme="majorHAnsi"/>
                <w:sz w:val="20"/>
                <w:szCs w:val="20"/>
                <w:lang w:val="lv-LV"/>
              </w:rPr>
              <w:t>, kurā noteikti šīs teritorijas aprobežojumi</w:t>
            </w:r>
            <w:r>
              <w:rPr>
                <w:rFonts w:asciiTheme="majorHAnsi" w:hAnsiTheme="majorHAnsi" w:cstheme="majorHAnsi"/>
                <w:sz w:val="20"/>
                <w:szCs w:val="20"/>
                <w:lang w:val="lv-LV"/>
              </w:rPr>
              <w:t>.</w:t>
            </w:r>
            <w:r w:rsidRPr="00940E93">
              <w:rPr>
                <w:rFonts w:asciiTheme="majorHAnsi" w:hAnsiTheme="majorHAnsi" w:cstheme="majorHAnsi"/>
                <w:sz w:val="20"/>
                <w:szCs w:val="20"/>
                <w:lang w:val="lv-LV"/>
              </w:rPr>
              <w:t xml:space="preserve"> </w:t>
            </w:r>
          </w:p>
        </w:tc>
        <w:tc>
          <w:tcPr>
            <w:tcW w:w="1080" w:type="pct"/>
          </w:tcPr>
          <w:p w14:paraId="391A73FC"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1BB6AE01" w14:textId="468C7138" w:rsidR="00710479" w:rsidRPr="00EB5C28" w:rsidRDefault="00710479" w:rsidP="00710479">
            <w:pPr>
              <w:spacing w:after="0" w:line="240" w:lineRule="auto"/>
              <w:rPr>
                <w:rFonts w:asciiTheme="majorHAnsi" w:hAnsiTheme="majorHAnsi" w:cstheme="majorHAnsi"/>
                <w:sz w:val="20"/>
                <w:szCs w:val="20"/>
                <w:shd w:val="clear" w:color="auto" w:fill="FFFFFF"/>
                <w:lang w:val="lv-LV"/>
              </w:rPr>
            </w:pPr>
            <w:r w:rsidRPr="00EB5C28">
              <w:rPr>
                <w:rFonts w:asciiTheme="majorHAnsi" w:hAnsiTheme="majorHAnsi" w:cstheme="majorHAnsi"/>
                <w:sz w:val="20"/>
                <w:szCs w:val="20"/>
                <w:shd w:val="clear" w:color="auto" w:fill="FFFFFF"/>
                <w:lang w:val="lv-LV"/>
              </w:rPr>
              <w:t>Pašvaldība var  noteikt papildus ierobežojumus ēku nenovietošanai tuvāk par 10 m no krasta līnijas.</w:t>
            </w:r>
          </w:p>
          <w:p w14:paraId="46E065C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1711" w:type="pct"/>
          </w:tcPr>
          <w:p w14:paraId="4EDF4234"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Ķekava TP 2009-2021 1.6. </w:t>
            </w:r>
            <w:r w:rsidRPr="00170C81">
              <w:rPr>
                <w:rFonts w:asciiTheme="majorHAnsi" w:hAnsiTheme="majorHAnsi" w:cstheme="majorHAnsi"/>
                <w:b/>
                <w:bCs/>
                <w:sz w:val="20"/>
                <w:szCs w:val="20"/>
                <w:shd w:val="clear" w:color="auto" w:fill="FFFFFF"/>
                <w:lang w:val="lv-LV"/>
              </w:rPr>
              <w:t>Apbūves līnija</w:t>
            </w:r>
            <w:r w:rsidRPr="00940E93">
              <w:rPr>
                <w:rFonts w:asciiTheme="majorHAnsi" w:hAnsiTheme="majorHAnsi" w:cstheme="majorHAnsi"/>
                <w:sz w:val="20"/>
                <w:szCs w:val="20"/>
                <w:shd w:val="clear" w:color="auto" w:fill="FFFFFF"/>
                <w:lang w:val="lv-LV"/>
              </w:rPr>
              <w:t xml:space="preserve"> - līnija, kas nosaka minimālo attālumu no zemesgabala robežas, sākot no kura drīkst izvietot ēkas un būves.</w:t>
            </w:r>
          </w:p>
          <w:p w14:paraId="01195CB4" w14:textId="131BDB94"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Tikko apstiprināts Ozolnieku novada teritorijas plānojums 2020, kur ir apbūves līnijas definīcija.</w:t>
            </w:r>
          </w:p>
          <w:p w14:paraId="450621E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www.varam.gov.lv mājaslapā publicētājā metodiskajā materiālā PRASĪBU IZSTRĀDE ELEKTRONISKO TOPOGRĀFISKO KARŠU SPECIFIKĀCIJAS UZLABOŠANAI TERITORIJAS PLĀNOŠANAS VAJADZĪBĀM 2.nodaļas 2.1.5. sadaļā “Prasības būvju izvietojumam zemesgabalā (apbūves līnija, </w:t>
            </w:r>
            <w:proofErr w:type="spellStart"/>
            <w:r w:rsidRPr="00940E93">
              <w:rPr>
                <w:rFonts w:asciiTheme="majorHAnsi" w:hAnsiTheme="majorHAnsi" w:cstheme="majorHAnsi"/>
                <w:sz w:val="20"/>
                <w:szCs w:val="20"/>
                <w:shd w:val="clear" w:color="auto" w:fill="FFFFFF"/>
                <w:lang w:val="lv-LV"/>
              </w:rPr>
              <w:t>būvlaide</w:t>
            </w:r>
            <w:proofErr w:type="spellEnd"/>
            <w:r w:rsidRPr="00940E93">
              <w:rPr>
                <w:rFonts w:asciiTheme="majorHAnsi" w:hAnsiTheme="majorHAnsi" w:cstheme="majorHAnsi"/>
                <w:sz w:val="20"/>
                <w:szCs w:val="20"/>
                <w:shd w:val="clear" w:color="auto" w:fill="FFFFFF"/>
                <w:lang w:val="lv-LV"/>
              </w:rPr>
              <w:t>)” ir aprakstīts termins “apbūves līnija” un tā nozīme.</w:t>
            </w:r>
          </w:p>
          <w:p w14:paraId="17509EAD"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Ņemot vērā nodaļas / sadaļas saturu ir saprotama apbūves līnijas būtība.</w:t>
            </w:r>
          </w:p>
          <w:p w14:paraId="0AE4116B"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Konkrētajā gadījumā neiet runa par </w:t>
            </w:r>
            <w:proofErr w:type="spellStart"/>
            <w:r w:rsidRPr="00940E93">
              <w:rPr>
                <w:rFonts w:asciiTheme="majorHAnsi" w:hAnsiTheme="majorHAnsi" w:cstheme="majorHAnsi"/>
                <w:sz w:val="20"/>
                <w:szCs w:val="20"/>
                <w:shd w:val="clear" w:color="auto" w:fill="FFFFFF"/>
                <w:lang w:val="lv-LV"/>
              </w:rPr>
              <w:t>būvlaidi</w:t>
            </w:r>
            <w:proofErr w:type="spellEnd"/>
            <w:r w:rsidRPr="00940E93">
              <w:rPr>
                <w:rFonts w:asciiTheme="majorHAnsi" w:hAnsiTheme="majorHAnsi" w:cstheme="majorHAnsi"/>
                <w:sz w:val="20"/>
                <w:szCs w:val="20"/>
                <w:shd w:val="clear" w:color="auto" w:fill="FFFFFF"/>
                <w:lang w:val="lv-LV"/>
              </w:rPr>
              <w:t xml:space="preserve"> vai būves izvietošanu attiecībā uz zemes vienības robežu. Aizsargjoslu likums nosaka aprobežojumus apbūves veidam ūdensteču un ūdenstilpju aizsargjoslās, taču neierobežo to atrašanos attālumā no ūdensobjekta. Būvju izvietošanu zemes vienībā no ūdensobjekta nosaka Tauvas josla, kas noteikta citā normatīvā aktā – Zvejniecības likumā. Gar privātajiem un valsts nozīmes un koplietošanas meliorācijas grāvjiem tiek noteikta ekspluatācijas aizsargjosla, taču aprobežojumi būvju izvietošanai nav noteikti.</w:t>
            </w:r>
          </w:p>
          <w:p w14:paraId="6A7CDCA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lastRenderedPageBreak/>
              <w:t>Priekšlikums:</w:t>
            </w:r>
          </w:p>
          <w:p w14:paraId="3D45B9E1" w14:textId="532B02DC"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Iesviest definīciju, ja tiek veikta jauna redakcija. Taču tā kā ministrija jau ir apstiprinājusi TP ar terminu “apbūves līnija”, kā arī pati savā metodiskajā materiālā to norādījusi……</w:t>
            </w:r>
          </w:p>
        </w:tc>
      </w:tr>
      <w:tr w:rsidR="00710479" w:rsidRPr="00940E93" w14:paraId="02B28FE2" w14:textId="36F8CDFF" w:rsidTr="00A65614">
        <w:tc>
          <w:tcPr>
            <w:tcW w:w="1423" w:type="pct"/>
          </w:tcPr>
          <w:p w14:paraId="2A375187" w14:textId="0AAFDDB3"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lastRenderedPageBreak/>
              <w:t>49.5, 49.6. un 49.7.apakšpunkts ir pretrunā Ministru kabineta 2013.gada 30.aprīļa noteikumu Nr.240 “Vispārīgie teritorijas plānošanas, izmantošanas un apbūves noteikumi” (turpmāk – noteikumi Nr.240) 195.punktam;</w:t>
            </w:r>
          </w:p>
        </w:tc>
        <w:tc>
          <w:tcPr>
            <w:tcW w:w="1080" w:type="pct"/>
          </w:tcPr>
          <w:p w14:paraId="273F7D63" w14:textId="21FC6E11" w:rsidR="00710479" w:rsidRPr="00940E93" w:rsidRDefault="00710479" w:rsidP="00710479">
            <w:pPr>
              <w:spacing w:after="0" w:line="240" w:lineRule="auto"/>
              <w:rPr>
                <w:rFonts w:asciiTheme="majorHAnsi" w:hAnsiTheme="majorHAnsi" w:cstheme="majorHAnsi"/>
                <w:sz w:val="20"/>
                <w:szCs w:val="20"/>
              </w:rPr>
            </w:pPr>
            <w:r w:rsidRPr="00940E93">
              <w:rPr>
                <w:rFonts w:asciiTheme="majorHAnsi" w:hAnsiTheme="majorHAnsi" w:cstheme="majorHAnsi"/>
                <w:sz w:val="20"/>
                <w:szCs w:val="20"/>
                <w:shd w:val="clear" w:color="auto" w:fill="FFFFFF"/>
              </w:rPr>
              <w:t xml:space="preserve">TIAN 49.5 </w:t>
            </w:r>
            <w:proofErr w:type="spellStart"/>
            <w:r w:rsidRPr="00940E93">
              <w:rPr>
                <w:rFonts w:asciiTheme="majorHAnsi" w:hAnsiTheme="majorHAnsi" w:cstheme="majorHAnsi"/>
                <w:sz w:val="20"/>
                <w:szCs w:val="20"/>
              </w:rPr>
              <w:t>Aizliegts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patvaļīgi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mainīt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teritorijas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dabisko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reljefu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veicot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teritorijas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uzbēršanu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vai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zemes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norakšanu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vairāk</w:t>
            </w:r>
            <w:proofErr w:type="spellEnd"/>
            <w:r w:rsidRPr="00940E93">
              <w:rPr>
                <w:rFonts w:asciiTheme="majorHAnsi" w:hAnsiTheme="majorHAnsi" w:cstheme="majorHAnsi"/>
                <w:sz w:val="20"/>
                <w:szCs w:val="20"/>
              </w:rPr>
              <w:t xml:space="preserve"> par 30 cm, </w:t>
            </w:r>
            <w:proofErr w:type="spellStart"/>
            <w:r w:rsidRPr="00940E93">
              <w:rPr>
                <w:rFonts w:asciiTheme="majorHAnsi" w:hAnsiTheme="majorHAnsi" w:cstheme="majorHAnsi"/>
                <w:sz w:val="20"/>
                <w:szCs w:val="20"/>
              </w:rPr>
              <w:t>izņemot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šo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noteikumu</w:t>
            </w:r>
            <w:proofErr w:type="spellEnd"/>
            <w:r w:rsidRPr="00940E93">
              <w:rPr>
                <w:rFonts w:asciiTheme="majorHAnsi" w:hAnsiTheme="majorHAnsi" w:cstheme="majorHAnsi"/>
                <w:sz w:val="20"/>
                <w:szCs w:val="20"/>
              </w:rPr>
              <w:t xml:space="preserve"> 86. </w:t>
            </w:r>
            <w:proofErr w:type="spellStart"/>
            <w:r w:rsidRPr="00940E93">
              <w:rPr>
                <w:rFonts w:asciiTheme="majorHAnsi" w:hAnsiTheme="majorHAnsi" w:cstheme="majorHAnsi"/>
                <w:sz w:val="20"/>
                <w:szCs w:val="20"/>
              </w:rPr>
              <w:t>punktā</w:t>
            </w:r>
            <w:proofErr w:type="spellEnd"/>
            <w:r w:rsidRPr="00940E93">
              <w:rPr>
                <w:rFonts w:asciiTheme="majorHAnsi" w:hAnsiTheme="majorHAnsi" w:cstheme="majorHAnsi"/>
                <w:sz w:val="20"/>
                <w:szCs w:val="20"/>
              </w:rPr>
              <w:t xml:space="preserve"> un 398. </w:t>
            </w:r>
            <w:proofErr w:type="spellStart"/>
            <w:r w:rsidRPr="00940E93">
              <w:rPr>
                <w:rFonts w:asciiTheme="majorHAnsi" w:hAnsiTheme="majorHAnsi" w:cstheme="majorHAnsi"/>
                <w:sz w:val="20"/>
                <w:szCs w:val="20"/>
              </w:rPr>
              <w:t>punktā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noteikto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gadījumu</w:t>
            </w:r>
            <w:proofErr w:type="spellEnd"/>
          </w:p>
        </w:tc>
        <w:tc>
          <w:tcPr>
            <w:tcW w:w="786" w:type="pct"/>
          </w:tcPr>
          <w:p w14:paraId="6D9A79F8" w14:textId="7710BE5E" w:rsidR="00710479" w:rsidRPr="00940E93" w:rsidRDefault="00710479" w:rsidP="00710479">
            <w:pPr>
              <w:spacing w:after="0" w:line="240" w:lineRule="auto"/>
              <w:rPr>
                <w:rFonts w:asciiTheme="majorHAnsi" w:hAnsiTheme="majorHAnsi" w:cstheme="majorHAnsi"/>
                <w:sz w:val="20"/>
                <w:szCs w:val="20"/>
                <w:shd w:val="clear" w:color="auto" w:fill="FFFFFF"/>
              </w:rPr>
            </w:pPr>
            <w:proofErr w:type="spellStart"/>
            <w:r>
              <w:rPr>
                <w:rFonts w:asciiTheme="majorHAnsi" w:hAnsiTheme="majorHAnsi" w:cstheme="majorHAnsi"/>
                <w:sz w:val="20"/>
                <w:szCs w:val="20"/>
                <w:shd w:val="clear" w:color="auto" w:fill="FFFFFF"/>
              </w:rPr>
              <w:t>Šiet</w:t>
            </w:r>
            <w:proofErr w:type="spellEnd"/>
            <w:r>
              <w:rPr>
                <w:rFonts w:asciiTheme="majorHAnsi" w:hAnsiTheme="majorHAnsi" w:cstheme="majorHAnsi"/>
                <w:sz w:val="20"/>
                <w:szCs w:val="20"/>
                <w:shd w:val="clear" w:color="auto" w:fill="FFFFFF"/>
              </w:rPr>
              <w:t xml:space="preserve"> nav </w:t>
            </w:r>
            <w:proofErr w:type="spellStart"/>
            <w:r>
              <w:rPr>
                <w:rFonts w:asciiTheme="majorHAnsi" w:hAnsiTheme="majorHAnsi" w:cstheme="majorHAnsi"/>
                <w:sz w:val="20"/>
                <w:szCs w:val="20"/>
                <w:shd w:val="clear" w:color="auto" w:fill="FFFFFF"/>
              </w:rPr>
              <w:t>saskatāma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pretruna</w:t>
            </w:r>
            <w:proofErr w:type="spellEnd"/>
            <w:r>
              <w:rPr>
                <w:rFonts w:asciiTheme="majorHAnsi" w:hAnsiTheme="majorHAnsi" w:cstheme="majorHAnsi"/>
                <w:sz w:val="20"/>
                <w:szCs w:val="20"/>
                <w:shd w:val="clear" w:color="auto" w:fill="FFFFFF"/>
              </w:rPr>
              <w:t xml:space="preserve"> - ja</w:t>
            </w:r>
            <w:r w:rsidRPr="00940E93">
              <w:rPr>
                <w:rFonts w:asciiTheme="majorHAnsi" w:hAnsiTheme="majorHAnsi" w:cstheme="majorHAnsi"/>
                <w:sz w:val="20"/>
                <w:szCs w:val="20"/>
                <w:shd w:val="clear" w:color="auto" w:fill="FFFFFF"/>
              </w:rPr>
              <w:t xml:space="preserve"> nu </w:t>
            </w:r>
            <w:proofErr w:type="spellStart"/>
            <w:r w:rsidRPr="00940E93">
              <w:rPr>
                <w:rFonts w:asciiTheme="majorHAnsi" w:hAnsiTheme="majorHAnsi" w:cstheme="majorHAnsi"/>
                <w:sz w:val="20"/>
                <w:szCs w:val="20"/>
                <w:shd w:val="clear" w:color="auto" w:fill="FFFFFF"/>
              </w:rPr>
              <w:t>vienīgi</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vārd</w:t>
            </w:r>
            <w:r>
              <w:rPr>
                <w:rFonts w:asciiTheme="majorHAnsi" w:hAnsiTheme="majorHAnsi" w:cstheme="majorHAnsi"/>
                <w:sz w:val="20"/>
                <w:szCs w:val="20"/>
                <w:shd w:val="clear" w:color="auto" w:fill="FFFFFF"/>
              </w:rPr>
              <w:t>a</w:t>
            </w:r>
            <w:proofErr w:type="spellEnd"/>
            <w:r>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patvaļīgi</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lietošana</w:t>
            </w:r>
            <w:proofErr w:type="spellEnd"/>
            <w:r w:rsidRPr="00940E93">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tiek</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uzskatīta</w:t>
            </w:r>
            <w:proofErr w:type="spellEnd"/>
            <w:r>
              <w:rPr>
                <w:rFonts w:asciiTheme="majorHAnsi" w:hAnsiTheme="majorHAnsi" w:cstheme="majorHAnsi"/>
                <w:sz w:val="20"/>
                <w:szCs w:val="20"/>
                <w:shd w:val="clear" w:color="auto" w:fill="FFFFFF"/>
              </w:rPr>
              <w:t xml:space="preserve"> par</w:t>
            </w:r>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problēm</w:t>
            </w:r>
            <w:r>
              <w:rPr>
                <w:rFonts w:asciiTheme="majorHAnsi" w:hAnsiTheme="majorHAnsi" w:cstheme="majorHAnsi"/>
                <w:sz w:val="20"/>
                <w:szCs w:val="20"/>
                <w:shd w:val="clear" w:color="auto" w:fill="FFFFFF"/>
              </w:rPr>
              <w:t>u</w:t>
            </w:r>
            <w:proofErr w:type="spellEnd"/>
            <w:r>
              <w:rPr>
                <w:rFonts w:asciiTheme="majorHAnsi" w:hAnsiTheme="majorHAnsi" w:cstheme="majorHAnsi"/>
                <w:sz w:val="20"/>
                <w:szCs w:val="20"/>
                <w:shd w:val="clear" w:color="auto" w:fill="FFFFFF"/>
              </w:rPr>
              <w:t>.</w:t>
            </w:r>
          </w:p>
          <w:p w14:paraId="49BA1488"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1711" w:type="pct"/>
          </w:tcPr>
          <w:p w14:paraId="2708415C" w14:textId="5D27DE1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49.5. un 49.6. Zemes dabiskā reljefa maiņai, veicot teritorijas uzbēršanu vai zemes norakšanu jeb zemes līmeņa pazemināšanu vai paaugstināšanu, tiek noteikti stingrāki ierobežojumi šo darbu veikšanai.</w:t>
            </w:r>
          </w:p>
          <w:p w14:paraId="22F58CF5" w14:textId="5D8003BA"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49.7. punktā papildus MK noteikumu 195.punktam tiek noteikti nosacījumi – ja rezultātā var rasties kaitējums blakus esošam nekustamajam īpašumam, kas var būt arī lielāks attālums par 1 metru.</w:t>
            </w:r>
          </w:p>
          <w:p w14:paraId="412D48CE" w14:textId="41EB1CC8"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Pr>
                <w:rFonts w:asciiTheme="majorHAnsi" w:hAnsiTheme="majorHAnsi" w:cstheme="majorHAnsi"/>
                <w:sz w:val="20"/>
                <w:szCs w:val="20"/>
                <w:shd w:val="clear" w:color="auto" w:fill="FFFFFF"/>
                <w:lang w:val="lv-LV"/>
              </w:rPr>
              <w:t>P</w:t>
            </w:r>
            <w:r w:rsidRPr="00940E93">
              <w:rPr>
                <w:rFonts w:asciiTheme="majorHAnsi" w:hAnsiTheme="majorHAnsi" w:cstheme="majorHAnsi"/>
                <w:sz w:val="20"/>
                <w:szCs w:val="20"/>
                <w:shd w:val="clear" w:color="auto" w:fill="FFFFFF"/>
                <w:lang w:val="lv-LV"/>
              </w:rPr>
              <w:t>ēc VAN 195.punkts obligāti visam jāizstrādā būvprojekts teritorijas labiekārtošanas projekts, taču Ministru kabineta 2017.gada 9.maija noteikumiem Nr.253 “Atsevišķu inženierbūvju būvnoteikumi” 6. punktā uzskaitīts, kam nav nepieciešams vertikālais plānojums.</w:t>
            </w:r>
          </w:p>
          <w:p w14:paraId="020380A3" w14:textId="5F5D1FE0"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Šie noteikumi paši par sevi ir pretrunā. Pēc kur tad izstrādā dokumentāciju?</w:t>
            </w:r>
            <w:r>
              <w:rPr>
                <w:rFonts w:asciiTheme="majorHAnsi" w:hAnsiTheme="majorHAnsi" w:cstheme="majorHAnsi"/>
                <w:sz w:val="20"/>
                <w:szCs w:val="20"/>
                <w:shd w:val="clear" w:color="auto" w:fill="FFFFFF"/>
                <w:lang w:val="lv-LV"/>
              </w:rPr>
              <w:t xml:space="preserve"> </w:t>
            </w:r>
            <w:r w:rsidRPr="00940E93">
              <w:rPr>
                <w:rFonts w:asciiTheme="majorHAnsi" w:hAnsiTheme="majorHAnsi" w:cstheme="majorHAnsi"/>
                <w:sz w:val="20"/>
                <w:szCs w:val="20"/>
                <w:shd w:val="clear" w:color="auto" w:fill="FFFFFF"/>
                <w:lang w:val="lv-LV"/>
              </w:rPr>
              <w:t>Kapiem arī ir jāizstrādā teritorijas labiekārtošanas projekts ar vertikālo plānojumu, ja tie atrodas nogāzē?</w:t>
            </w:r>
          </w:p>
        </w:tc>
      </w:tr>
      <w:tr w:rsidR="00710479" w:rsidRPr="00940E93" w14:paraId="578DC658" w14:textId="5B6AAE40" w:rsidTr="00A65614">
        <w:tc>
          <w:tcPr>
            <w:tcW w:w="1423" w:type="pct"/>
          </w:tcPr>
          <w:p w14:paraId="174688DA" w14:textId="4A73D198"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50.5.apakšpunkts, jo tualešu izbūvi publiskām būvēm nosaka Ministru kabineta 2015.gada 30.jūnija noteikumi Nr.331 “Noteikumi par Latvijas būvnormatīvu LBN 208-15 “Publiskas būves””;</w:t>
            </w:r>
          </w:p>
        </w:tc>
        <w:tc>
          <w:tcPr>
            <w:tcW w:w="1080" w:type="pct"/>
          </w:tcPr>
          <w:p w14:paraId="07FCCC12" w14:textId="585C7154" w:rsidR="00710479" w:rsidRPr="00940E93" w:rsidRDefault="00710479" w:rsidP="00710479">
            <w:pPr>
              <w:spacing w:after="0" w:line="240" w:lineRule="auto"/>
              <w:rPr>
                <w:rFonts w:asciiTheme="majorHAnsi" w:hAnsiTheme="majorHAnsi" w:cstheme="majorHAnsi"/>
                <w:sz w:val="20"/>
                <w:szCs w:val="20"/>
              </w:rPr>
            </w:pPr>
            <w:r w:rsidRPr="00940E93">
              <w:rPr>
                <w:rFonts w:asciiTheme="majorHAnsi" w:hAnsiTheme="majorHAnsi" w:cstheme="majorHAnsi"/>
                <w:sz w:val="20"/>
                <w:szCs w:val="20"/>
              </w:rPr>
              <w:t xml:space="preserve">“50.5. </w:t>
            </w:r>
            <w:proofErr w:type="spellStart"/>
            <w:r w:rsidRPr="00940E93">
              <w:rPr>
                <w:rFonts w:asciiTheme="majorHAnsi" w:hAnsiTheme="majorHAnsi" w:cstheme="majorHAnsi"/>
                <w:sz w:val="20"/>
                <w:szCs w:val="20"/>
              </w:rPr>
              <w:t>Publiskajos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objektos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lielu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apmeklētāju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skaitu</w:t>
            </w:r>
            <w:proofErr w:type="spellEnd"/>
            <w:r w:rsidRPr="00940E93">
              <w:rPr>
                <w:rFonts w:asciiTheme="majorHAnsi" w:hAnsiTheme="majorHAnsi" w:cstheme="majorHAnsi"/>
                <w:sz w:val="20"/>
                <w:szCs w:val="20"/>
              </w:rPr>
              <w:t xml:space="preserve">, tai </w:t>
            </w:r>
            <w:proofErr w:type="spellStart"/>
            <w:r w:rsidRPr="00940E93">
              <w:rPr>
                <w:rFonts w:asciiTheme="majorHAnsi" w:hAnsiTheme="majorHAnsi" w:cstheme="majorHAnsi"/>
                <w:sz w:val="20"/>
                <w:szCs w:val="20"/>
              </w:rPr>
              <w:t>skaitā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masu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pasākumu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vietas</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rekreācijas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objektu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vietas</w:t>
            </w:r>
            <w:proofErr w:type="spellEnd"/>
            <w:r w:rsidRPr="00940E93">
              <w:rPr>
                <w:rFonts w:asciiTheme="majorHAnsi" w:hAnsiTheme="majorHAnsi" w:cstheme="majorHAnsi"/>
                <w:sz w:val="20"/>
                <w:szCs w:val="20"/>
              </w:rPr>
              <w:t xml:space="preserve">, </w:t>
            </w:r>
            <w:proofErr w:type="spellStart"/>
            <w:r w:rsidRPr="00170C81">
              <w:rPr>
                <w:rFonts w:asciiTheme="majorHAnsi" w:hAnsiTheme="majorHAnsi" w:cstheme="majorHAnsi"/>
                <w:b/>
                <w:bCs/>
                <w:sz w:val="20"/>
                <w:szCs w:val="20"/>
              </w:rPr>
              <w:t>nodrošina</w:t>
            </w:r>
            <w:proofErr w:type="spellEnd"/>
            <w:r w:rsidRPr="00170C81">
              <w:rPr>
                <w:rFonts w:asciiTheme="majorHAnsi" w:hAnsiTheme="majorHAnsi" w:cstheme="majorHAnsi"/>
                <w:b/>
                <w:bCs/>
                <w:sz w:val="20"/>
                <w:szCs w:val="20"/>
              </w:rPr>
              <w:t xml:space="preserve"> </w:t>
            </w:r>
            <w:proofErr w:type="spellStart"/>
            <w:r w:rsidRPr="00170C81">
              <w:rPr>
                <w:rFonts w:asciiTheme="majorHAnsi" w:hAnsiTheme="majorHAnsi" w:cstheme="majorHAnsi"/>
                <w:b/>
                <w:bCs/>
                <w:sz w:val="20"/>
                <w:szCs w:val="20"/>
              </w:rPr>
              <w:t>publiski</w:t>
            </w:r>
            <w:proofErr w:type="spellEnd"/>
            <w:r w:rsidRPr="00170C81">
              <w:rPr>
                <w:rFonts w:asciiTheme="majorHAnsi" w:hAnsiTheme="majorHAnsi" w:cstheme="majorHAnsi"/>
                <w:b/>
                <w:bCs/>
                <w:sz w:val="20"/>
                <w:szCs w:val="20"/>
              </w:rPr>
              <w:t xml:space="preserve"> </w:t>
            </w:r>
            <w:proofErr w:type="spellStart"/>
            <w:r w:rsidRPr="00170C81">
              <w:rPr>
                <w:rFonts w:asciiTheme="majorHAnsi" w:hAnsiTheme="majorHAnsi" w:cstheme="majorHAnsi"/>
                <w:b/>
                <w:bCs/>
                <w:sz w:val="20"/>
                <w:szCs w:val="20"/>
              </w:rPr>
              <w:t>pieejamas</w:t>
            </w:r>
            <w:proofErr w:type="spellEnd"/>
            <w:r w:rsidRPr="00170C81">
              <w:rPr>
                <w:rFonts w:asciiTheme="majorHAnsi" w:hAnsiTheme="majorHAnsi" w:cstheme="majorHAnsi"/>
                <w:b/>
                <w:bCs/>
                <w:sz w:val="20"/>
                <w:szCs w:val="20"/>
              </w:rPr>
              <w:t xml:space="preserve"> </w:t>
            </w:r>
            <w:proofErr w:type="spellStart"/>
            <w:r w:rsidRPr="00170C81">
              <w:rPr>
                <w:rFonts w:asciiTheme="majorHAnsi" w:hAnsiTheme="majorHAnsi" w:cstheme="majorHAnsi"/>
                <w:b/>
                <w:bCs/>
                <w:sz w:val="20"/>
                <w:szCs w:val="20"/>
              </w:rPr>
              <w:t>tualetes</w:t>
            </w:r>
            <w:proofErr w:type="spellEnd"/>
            <w:r w:rsidRPr="00940E93">
              <w:rPr>
                <w:rFonts w:asciiTheme="majorHAnsi" w:hAnsiTheme="majorHAnsi" w:cstheme="majorHAnsi"/>
                <w:sz w:val="20"/>
                <w:szCs w:val="20"/>
              </w:rPr>
              <w:t>. “</w:t>
            </w:r>
          </w:p>
        </w:tc>
        <w:tc>
          <w:tcPr>
            <w:tcW w:w="786" w:type="pct"/>
          </w:tcPr>
          <w:p w14:paraId="082D93DA" w14:textId="30272BFD"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Pr>
                <w:rFonts w:asciiTheme="majorHAnsi" w:hAnsiTheme="majorHAnsi" w:cstheme="majorHAnsi"/>
                <w:sz w:val="20"/>
                <w:szCs w:val="20"/>
                <w:shd w:val="clear" w:color="auto" w:fill="FFFFFF"/>
              </w:rPr>
              <w:t xml:space="preserve">50.5. </w:t>
            </w:r>
            <w:proofErr w:type="spellStart"/>
            <w:r>
              <w:rPr>
                <w:rFonts w:asciiTheme="majorHAnsi" w:hAnsiTheme="majorHAnsi" w:cstheme="majorHAnsi"/>
                <w:sz w:val="20"/>
                <w:szCs w:val="20"/>
                <w:shd w:val="clear" w:color="auto" w:fill="FFFFFF"/>
              </w:rPr>
              <w:t>punkts</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neattiecas</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uz</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tualešu</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izbūvi</w:t>
            </w:r>
            <w:proofErr w:type="spellEnd"/>
            <w:r>
              <w:rPr>
                <w:rFonts w:asciiTheme="majorHAnsi" w:hAnsiTheme="majorHAnsi" w:cstheme="majorHAnsi"/>
                <w:sz w:val="20"/>
                <w:szCs w:val="20"/>
                <w:shd w:val="clear" w:color="auto" w:fill="FFFFFF"/>
              </w:rPr>
              <w:t xml:space="preserve">, bet </w:t>
            </w:r>
            <w:proofErr w:type="spellStart"/>
            <w:r>
              <w:rPr>
                <w:rFonts w:asciiTheme="majorHAnsi" w:hAnsiTheme="majorHAnsi" w:cstheme="majorHAnsi"/>
                <w:sz w:val="20"/>
                <w:szCs w:val="20"/>
                <w:shd w:val="clear" w:color="auto" w:fill="FFFFFF"/>
              </w:rPr>
              <w:t>gan</w:t>
            </w:r>
            <w:proofErr w:type="spellEnd"/>
            <w:r>
              <w:rPr>
                <w:rFonts w:asciiTheme="majorHAnsi" w:hAnsiTheme="majorHAnsi" w:cstheme="majorHAnsi"/>
                <w:sz w:val="20"/>
                <w:szCs w:val="20"/>
                <w:shd w:val="clear" w:color="auto" w:fill="FFFFFF"/>
              </w:rPr>
              <w:t xml:space="preserve"> to </w:t>
            </w:r>
            <w:proofErr w:type="spellStart"/>
            <w:r>
              <w:rPr>
                <w:rFonts w:asciiTheme="majorHAnsi" w:hAnsiTheme="majorHAnsi" w:cstheme="majorHAnsi"/>
                <w:sz w:val="20"/>
                <w:szCs w:val="20"/>
                <w:shd w:val="clear" w:color="auto" w:fill="FFFFFF"/>
              </w:rPr>
              <w:t>nodrošināšanu</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publiskajos</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objektos</w:t>
            </w:r>
            <w:proofErr w:type="spellEnd"/>
            <w:r>
              <w:rPr>
                <w:rFonts w:asciiTheme="majorHAnsi" w:hAnsiTheme="majorHAnsi" w:cstheme="majorHAnsi"/>
                <w:sz w:val="20"/>
                <w:szCs w:val="20"/>
                <w:shd w:val="clear" w:color="auto" w:fill="FFFFFF"/>
              </w:rPr>
              <w:t>.</w:t>
            </w:r>
          </w:p>
        </w:tc>
        <w:tc>
          <w:tcPr>
            <w:tcW w:w="1711" w:type="pct"/>
          </w:tcPr>
          <w:p w14:paraId="26ABC092" w14:textId="1A828A04"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Ministru kabineta 2015.gada 30.jūnija noteikumi Nr.331 “Noteikumi par Latvijas būvnormatīvu LBN 208-15 “Publiskas būves”” attiecas uz publiskām būvēm, kā arī nosaka prasības publisku telpu projektēšanai citādu lietošanas veida būvēs. 50.5. punktā minēti publiski objekti, paskaidrojot, ka tai skaitā ietilpst masu pasākuma vietas un rekreācijas objektu vietas, KAS NAV PUBLISKAS BŪVES.</w:t>
            </w:r>
          </w:p>
        </w:tc>
      </w:tr>
      <w:tr w:rsidR="00710479" w:rsidRPr="00940E93" w14:paraId="0CC83643" w14:textId="26075A10" w:rsidTr="00A65614">
        <w:tc>
          <w:tcPr>
            <w:tcW w:w="1423" w:type="pct"/>
          </w:tcPr>
          <w:p w14:paraId="74FF07FD" w14:textId="71C3C896"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51.1.apakšpunkts, jo atbilstoši Ministru kabineta 2017.gada 9.maija noteikumu Nr.253 “Atsevišķu inženierbūvju būvnoteikumi” 6.punktam žogu būvdarbiem nav nepieciešama būvniecības ieceres dokumentācija un saskaņojums būvvaldē vai institūcijā, kas pilda būvvaldes funkcijas, ja tiek ievērotas apbūves noteikumu noteiktās prasības, tai skaitā caurredzamība;</w:t>
            </w:r>
          </w:p>
        </w:tc>
        <w:tc>
          <w:tcPr>
            <w:tcW w:w="1080" w:type="pct"/>
          </w:tcPr>
          <w:p w14:paraId="76E275E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68D349EF" w14:textId="41E681A1"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roofErr w:type="spellStart"/>
            <w:r>
              <w:rPr>
                <w:rFonts w:asciiTheme="majorHAnsi" w:hAnsiTheme="majorHAnsi" w:cstheme="majorHAnsi"/>
                <w:sz w:val="20"/>
                <w:szCs w:val="20"/>
                <w:shd w:val="clear" w:color="auto" w:fill="FFFFFF"/>
              </w:rPr>
              <w:t>P</w:t>
            </w:r>
            <w:r w:rsidRPr="00940E93">
              <w:rPr>
                <w:rFonts w:asciiTheme="majorHAnsi" w:hAnsiTheme="majorHAnsi" w:cstheme="majorHAnsi"/>
                <w:sz w:val="20"/>
                <w:szCs w:val="20"/>
                <w:shd w:val="clear" w:color="auto" w:fill="FFFFFF"/>
              </w:rPr>
              <w:t>rasība</w:t>
            </w:r>
            <w:proofErr w:type="spellEnd"/>
            <w:r>
              <w:rPr>
                <w:rFonts w:asciiTheme="majorHAnsi" w:hAnsiTheme="majorHAnsi" w:cstheme="majorHAnsi"/>
                <w:sz w:val="20"/>
                <w:szCs w:val="20"/>
                <w:shd w:val="clear" w:color="auto" w:fill="FFFFFF"/>
              </w:rPr>
              <w:t>,</w:t>
            </w:r>
            <w:r w:rsidRPr="00940E93">
              <w:rPr>
                <w:rFonts w:asciiTheme="majorHAnsi" w:hAnsiTheme="majorHAnsi" w:cstheme="majorHAnsi"/>
                <w:sz w:val="20"/>
                <w:szCs w:val="20"/>
                <w:shd w:val="clear" w:color="auto" w:fill="FFFFFF"/>
              </w:rPr>
              <w:t xml:space="preserve"> ka </w:t>
            </w:r>
            <w:proofErr w:type="spellStart"/>
            <w:r w:rsidRPr="00940E93">
              <w:rPr>
                <w:rFonts w:asciiTheme="majorHAnsi" w:hAnsiTheme="majorHAnsi" w:cstheme="majorHAnsi"/>
                <w:sz w:val="20"/>
                <w:szCs w:val="20"/>
                <w:shd w:val="clear" w:color="auto" w:fill="FFFFFF"/>
              </w:rPr>
              <w:t>jāskaņo</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žogs</w:t>
            </w:r>
            <w:proofErr w:type="spellEnd"/>
            <w:r>
              <w:rPr>
                <w:rFonts w:asciiTheme="majorHAnsi" w:hAnsiTheme="majorHAnsi" w:cstheme="majorHAnsi"/>
                <w:sz w:val="20"/>
                <w:szCs w:val="20"/>
                <w:shd w:val="clear" w:color="auto" w:fill="FFFFFF"/>
              </w:rPr>
              <w:t xml:space="preserve">, kas </w:t>
            </w:r>
            <w:proofErr w:type="spellStart"/>
            <w:r>
              <w:rPr>
                <w:rFonts w:asciiTheme="majorHAnsi" w:hAnsiTheme="majorHAnsi" w:cstheme="majorHAnsi"/>
                <w:sz w:val="20"/>
                <w:szCs w:val="20"/>
                <w:shd w:val="clear" w:color="auto" w:fill="FFFFFF"/>
              </w:rPr>
              <w:t>atrodas</w:t>
            </w:r>
            <w:proofErr w:type="spellEnd"/>
            <w:r>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pret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publisko</w:t>
            </w:r>
            <w:proofErr w:type="spellEnd"/>
            <w:r w:rsidRPr="00940E93">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ārtelpa</w:t>
            </w:r>
            <w:proofErr w:type="spellEnd"/>
            <w:r>
              <w:rPr>
                <w:rFonts w:asciiTheme="majorHAnsi" w:hAnsiTheme="majorHAnsi" w:cstheme="majorHAnsi"/>
                <w:sz w:val="20"/>
                <w:szCs w:val="20"/>
                <w:shd w:val="clear" w:color="auto" w:fill="FFFFFF"/>
              </w:rPr>
              <w:t>,</w:t>
            </w:r>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ir</w:t>
            </w:r>
            <w:proofErr w:type="spellEnd"/>
            <w:r w:rsidRPr="00940E93">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adekvāta</w:t>
            </w:r>
            <w:proofErr w:type="spellEnd"/>
            <w:r>
              <w:rPr>
                <w:rFonts w:asciiTheme="majorHAnsi" w:hAnsiTheme="majorHAnsi" w:cstheme="majorHAnsi"/>
                <w:sz w:val="20"/>
                <w:szCs w:val="20"/>
                <w:shd w:val="clear" w:color="auto" w:fill="FFFFFF"/>
              </w:rPr>
              <w:t>.</w:t>
            </w:r>
          </w:p>
        </w:tc>
        <w:tc>
          <w:tcPr>
            <w:tcW w:w="1711" w:type="pct"/>
          </w:tcPr>
          <w:p w14:paraId="5DA425A1"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Ministru kabineta 2017.gada 9.maija noteikumu Nr.253 6.3.PUNKTS NOSAKA, KA  saskaņojot ar zemes gabala īpašnieku, būves īpašnieku vai, ja tāda nav, tad ar zemes gabala, būves tiesisko valdītāju un trešajām personām, kuru tiesības tiek skartas, ja normatīvajos aktos par saskaņojuma nepieciešamību nav noteikts citādi, un ievērojot citos normatīvajos aktos noteiktās prasības:</w:t>
            </w:r>
          </w:p>
          <w:p w14:paraId="7D446F1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456600B9"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Šinī gadījumā pašvaldība izvirza noteikumus.</w:t>
            </w:r>
          </w:p>
          <w:p w14:paraId="0316D40F" w14:textId="7536845B"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9. pants Būvniecības ierosinātājs pats var izstrādāt nepieciešamo būvniecības ieceres dokumentāciju atsevišķu labiekārtojuma elementu un žogu būvdarbiem.</w:t>
            </w:r>
          </w:p>
        </w:tc>
      </w:tr>
      <w:tr w:rsidR="00710479" w:rsidRPr="00940E93" w14:paraId="7293F61C" w14:textId="77777777" w:rsidTr="00A65614">
        <w:tc>
          <w:tcPr>
            <w:tcW w:w="1423" w:type="pct"/>
          </w:tcPr>
          <w:p w14:paraId="4D91BB3E" w14:textId="3A28E9DE"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lastRenderedPageBreak/>
              <w:t>55.6.apakšpunkts, jo noteikumu Nr.240 143.punkts, kuru dublēja minētais apbūves noteikumu apakšpunkts, ir zaudējis spēku</w:t>
            </w:r>
            <w:r w:rsidRPr="00940E93">
              <w:rPr>
                <w:rFonts w:asciiTheme="majorHAnsi" w:hAnsiTheme="majorHAnsi" w:cstheme="majorHAnsi"/>
                <w:sz w:val="20"/>
                <w:szCs w:val="20"/>
                <w:vertAlign w:val="superscript"/>
                <w:lang w:val="lv-LV"/>
              </w:rPr>
              <w:footnoteReference w:id="9"/>
            </w:r>
            <w:r w:rsidRPr="00940E93">
              <w:rPr>
                <w:rFonts w:asciiTheme="majorHAnsi" w:hAnsiTheme="majorHAnsi" w:cstheme="majorHAnsi"/>
                <w:sz w:val="20"/>
                <w:szCs w:val="20"/>
                <w:lang w:val="lv-LV"/>
              </w:rPr>
              <w:t>;</w:t>
            </w:r>
          </w:p>
        </w:tc>
        <w:tc>
          <w:tcPr>
            <w:tcW w:w="1080" w:type="pct"/>
          </w:tcPr>
          <w:p w14:paraId="6AC91409" w14:textId="36922EAD" w:rsidR="00710479" w:rsidRPr="00940E93" w:rsidRDefault="00710479" w:rsidP="00710479">
            <w:pPr>
              <w:spacing w:after="0" w:line="240" w:lineRule="auto"/>
              <w:rPr>
                <w:rFonts w:asciiTheme="majorHAnsi" w:hAnsiTheme="majorHAnsi" w:cstheme="majorHAnsi"/>
                <w:sz w:val="20"/>
                <w:szCs w:val="20"/>
              </w:rPr>
            </w:pPr>
            <w:r w:rsidRPr="00940E93">
              <w:rPr>
                <w:rFonts w:asciiTheme="majorHAnsi" w:hAnsiTheme="majorHAnsi" w:cstheme="majorHAnsi"/>
                <w:sz w:val="20"/>
                <w:szCs w:val="20"/>
              </w:rPr>
              <w:t xml:space="preserve">55.6. </w:t>
            </w:r>
            <w:proofErr w:type="spellStart"/>
            <w:r w:rsidRPr="00940E93">
              <w:rPr>
                <w:rFonts w:asciiTheme="majorHAnsi" w:hAnsiTheme="majorHAnsi" w:cstheme="majorHAnsi"/>
                <w:sz w:val="20"/>
                <w:szCs w:val="20"/>
              </w:rPr>
              <w:t>Plānojot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cūku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novietņu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izvietojumu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ievēro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nosacījumu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lai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apkārtējā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teritorijā</w:t>
            </w:r>
            <w:proofErr w:type="spellEnd"/>
            <w:r w:rsidRPr="00940E93">
              <w:rPr>
                <w:rFonts w:asciiTheme="majorHAnsi" w:hAnsiTheme="majorHAnsi" w:cstheme="majorHAnsi"/>
                <w:sz w:val="20"/>
                <w:szCs w:val="20"/>
              </w:rPr>
              <w:t xml:space="preserve"> 3 km </w:t>
            </w:r>
            <w:proofErr w:type="spellStart"/>
            <w:r w:rsidRPr="00940E93">
              <w:rPr>
                <w:rFonts w:asciiTheme="majorHAnsi" w:hAnsiTheme="majorHAnsi" w:cstheme="majorHAnsi"/>
                <w:sz w:val="20"/>
                <w:szCs w:val="20"/>
              </w:rPr>
              <w:t>rādiusā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cūku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blīvums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nepārsniegtu</w:t>
            </w:r>
            <w:proofErr w:type="spellEnd"/>
            <w:r w:rsidRPr="00940E93">
              <w:rPr>
                <w:rFonts w:asciiTheme="majorHAnsi" w:hAnsiTheme="majorHAnsi" w:cstheme="majorHAnsi"/>
                <w:sz w:val="20"/>
                <w:szCs w:val="20"/>
              </w:rPr>
              <w:t xml:space="preserve"> 1500 </w:t>
            </w:r>
            <w:proofErr w:type="spellStart"/>
            <w:r w:rsidRPr="00940E93">
              <w:rPr>
                <w:rFonts w:asciiTheme="majorHAnsi" w:hAnsiTheme="majorHAnsi" w:cstheme="majorHAnsi"/>
                <w:sz w:val="20"/>
                <w:szCs w:val="20"/>
              </w:rPr>
              <w:t>dzīvnieku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vienības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Šī</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prasība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neattiecas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uz</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cūku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novietnēm</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kurās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tiek</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turētas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piecas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vai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mazāk</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dzīvnieku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vienības</w:t>
            </w:r>
            <w:proofErr w:type="spellEnd"/>
            <w:r w:rsidRPr="00940E93">
              <w:rPr>
                <w:rFonts w:asciiTheme="majorHAnsi" w:hAnsiTheme="majorHAnsi" w:cstheme="majorHAnsi"/>
                <w:sz w:val="20"/>
                <w:szCs w:val="20"/>
              </w:rPr>
              <w:t>.</w:t>
            </w:r>
          </w:p>
        </w:tc>
        <w:tc>
          <w:tcPr>
            <w:tcW w:w="786" w:type="pct"/>
          </w:tcPr>
          <w:p w14:paraId="3F12874B" w14:textId="597E295C"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roofErr w:type="spellStart"/>
            <w:r>
              <w:rPr>
                <w:rFonts w:asciiTheme="majorHAnsi" w:hAnsiTheme="majorHAnsi" w:cstheme="majorHAnsi"/>
                <w:sz w:val="20"/>
                <w:szCs w:val="20"/>
                <w:shd w:val="clear" w:color="auto" w:fill="FFFFFF"/>
              </w:rPr>
              <w:t>Nebūtiska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neatbilstība</w:t>
            </w:r>
            <w:proofErr w:type="spellEnd"/>
            <w:r>
              <w:rPr>
                <w:rFonts w:asciiTheme="majorHAnsi" w:hAnsiTheme="majorHAnsi" w:cstheme="majorHAnsi"/>
                <w:sz w:val="20"/>
                <w:szCs w:val="20"/>
                <w:shd w:val="clear" w:color="auto" w:fill="FFFFFF"/>
              </w:rPr>
              <w:t>.</w:t>
            </w:r>
          </w:p>
        </w:tc>
        <w:tc>
          <w:tcPr>
            <w:tcW w:w="1711" w:type="pct"/>
          </w:tcPr>
          <w:p w14:paraId="451BC51C"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Nav izsekota norma, kas tika Svītrota ar MK 01.10.2019. noteikumiem Nr. 461.</w:t>
            </w:r>
          </w:p>
          <w:p w14:paraId="44DD22FC" w14:textId="5565A4A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TIAN šie nosacījumi bija MK noteikumu Nr.240 dublējums, lai iedzīvotājiem vienkopus ir apskatāmi nosacījumi attiecībā uz būvniecību un nebūtu jālasa daudz dažādi normatīvi, kas pastāvīgi tiek grozīti.</w:t>
            </w:r>
          </w:p>
        </w:tc>
      </w:tr>
      <w:tr w:rsidR="00710479" w:rsidRPr="00940E93" w14:paraId="21D9D83A" w14:textId="77777777" w:rsidTr="00A65614">
        <w:tc>
          <w:tcPr>
            <w:tcW w:w="1423" w:type="pct"/>
          </w:tcPr>
          <w:p w14:paraId="16D08E87" w14:textId="5D21003C"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75.punkts, jo būvdarbu veicēja atbildība ir noteikta Būvniecības likumā, savukārt pienākumi un tiesības Ministru kabineta 2014.gada 19.augusta noteikumos Nr.500 “Vispārīgie būvnoteikumi”;</w:t>
            </w:r>
          </w:p>
        </w:tc>
        <w:tc>
          <w:tcPr>
            <w:tcW w:w="1080" w:type="pct"/>
          </w:tcPr>
          <w:p w14:paraId="59F89587" w14:textId="4B711CE9" w:rsidR="00710479" w:rsidRPr="00940E93" w:rsidRDefault="00710479" w:rsidP="00710479">
            <w:pPr>
              <w:spacing w:after="0" w:line="240" w:lineRule="auto"/>
              <w:rPr>
                <w:rFonts w:asciiTheme="majorHAnsi" w:hAnsiTheme="majorHAnsi" w:cstheme="majorHAnsi"/>
                <w:sz w:val="20"/>
                <w:szCs w:val="20"/>
              </w:rPr>
            </w:pPr>
            <w:r w:rsidRPr="00940E93">
              <w:rPr>
                <w:rFonts w:asciiTheme="majorHAnsi" w:hAnsiTheme="majorHAnsi" w:cstheme="majorHAnsi"/>
                <w:sz w:val="20"/>
                <w:szCs w:val="20"/>
              </w:rPr>
              <w:t xml:space="preserve">75. Par </w:t>
            </w:r>
            <w:proofErr w:type="spellStart"/>
            <w:r w:rsidRPr="00940E93">
              <w:rPr>
                <w:rFonts w:asciiTheme="majorHAnsi" w:hAnsiTheme="majorHAnsi" w:cstheme="majorHAnsi"/>
                <w:sz w:val="20"/>
                <w:szCs w:val="20"/>
              </w:rPr>
              <w:t>apstādījumu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atjaunošanu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pēc</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būvdarbu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veikšanas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atbildīgs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būvdarbu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veicējs</w:t>
            </w:r>
            <w:proofErr w:type="spellEnd"/>
            <w:r w:rsidRPr="00940E93">
              <w:rPr>
                <w:rFonts w:asciiTheme="majorHAnsi" w:hAnsiTheme="majorHAnsi" w:cstheme="majorHAnsi"/>
                <w:sz w:val="20"/>
                <w:szCs w:val="20"/>
              </w:rPr>
              <w:t>.</w:t>
            </w:r>
          </w:p>
        </w:tc>
        <w:tc>
          <w:tcPr>
            <w:tcW w:w="786" w:type="pct"/>
          </w:tcPr>
          <w:p w14:paraId="308D36A2" w14:textId="7ECDA0DB" w:rsidR="00710479" w:rsidRPr="00170C81" w:rsidRDefault="00710479" w:rsidP="00710479">
            <w:pPr>
              <w:tabs>
                <w:tab w:val="left" w:pos="426"/>
              </w:tabs>
              <w:spacing w:after="0" w:line="240" w:lineRule="auto"/>
              <w:jc w:val="both"/>
              <w:rPr>
                <w:rFonts w:asciiTheme="majorHAnsi" w:hAnsiTheme="majorHAnsi" w:cstheme="majorHAnsi"/>
                <w:b/>
                <w:bCs/>
                <w:sz w:val="20"/>
                <w:szCs w:val="20"/>
                <w:shd w:val="clear" w:color="auto" w:fill="FFFFFF"/>
                <w:lang w:val="lv-LV"/>
              </w:rPr>
            </w:pPr>
            <w:proofErr w:type="spellStart"/>
            <w:r>
              <w:rPr>
                <w:rFonts w:asciiTheme="majorHAnsi" w:hAnsiTheme="majorHAnsi" w:cstheme="majorHAnsi"/>
                <w:sz w:val="20"/>
                <w:szCs w:val="20"/>
                <w:shd w:val="clear" w:color="auto" w:fill="FFFFFF"/>
              </w:rPr>
              <w:t>Nebūtiska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neatbilstība</w:t>
            </w:r>
            <w:proofErr w:type="spellEnd"/>
            <w:r>
              <w:rPr>
                <w:rFonts w:asciiTheme="majorHAnsi" w:hAnsiTheme="majorHAnsi" w:cstheme="majorHAnsi"/>
                <w:sz w:val="20"/>
                <w:szCs w:val="20"/>
                <w:shd w:val="clear" w:color="auto" w:fill="FFFFFF"/>
              </w:rPr>
              <w:t>.</w:t>
            </w:r>
          </w:p>
        </w:tc>
        <w:tc>
          <w:tcPr>
            <w:tcW w:w="1711" w:type="pct"/>
          </w:tcPr>
          <w:p w14:paraId="3475AF7B" w14:textId="703887F8"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Būvniecības dokumentācijā var netikt uzrādīti visi teritorijā esošie apstādījumi, kā arī būvdarbu veikšanas laikā var tikt tie bojāti un to atjaunošana būvniecības procesā nav tikusi paredzēta. Taču, lai aizsargātu būvniecības ierosinātāju</w:t>
            </w:r>
            <w:r>
              <w:rPr>
                <w:rFonts w:asciiTheme="majorHAnsi" w:hAnsiTheme="majorHAnsi" w:cstheme="majorHAnsi"/>
                <w:sz w:val="20"/>
                <w:szCs w:val="20"/>
                <w:shd w:val="clear" w:color="auto" w:fill="FFFFFF"/>
                <w:lang w:val="lv-LV"/>
              </w:rPr>
              <w:t>,</w:t>
            </w:r>
            <w:r w:rsidRPr="00940E93">
              <w:rPr>
                <w:rFonts w:asciiTheme="majorHAnsi" w:hAnsiTheme="majorHAnsi" w:cstheme="majorHAnsi"/>
                <w:sz w:val="20"/>
                <w:szCs w:val="20"/>
                <w:shd w:val="clear" w:color="auto" w:fill="FFFFFF"/>
                <w:lang w:val="lv-LV"/>
              </w:rPr>
              <w:t xml:space="preserve"> tiek uzlikta atbildība arī šajos noteikumos.</w:t>
            </w:r>
          </w:p>
        </w:tc>
      </w:tr>
      <w:tr w:rsidR="00710479" w:rsidRPr="00940E93" w14:paraId="291F1904" w14:textId="77777777" w:rsidTr="00A65614">
        <w:tc>
          <w:tcPr>
            <w:tcW w:w="1423" w:type="pct"/>
          </w:tcPr>
          <w:p w14:paraId="147F929C" w14:textId="3211F910"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pretēji Aizsargjoslu likuma 13.un 14. panta regulējumam, norādīts, ka jaunas sarkanās līnijas nosaka arī zemes ierīcības projektā vai būvprojektā;</w:t>
            </w:r>
          </w:p>
        </w:tc>
        <w:tc>
          <w:tcPr>
            <w:tcW w:w="1080" w:type="pct"/>
          </w:tcPr>
          <w:p w14:paraId="7D281AB3"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06952F6E" w14:textId="70404E7F" w:rsidR="00710479" w:rsidRPr="00940E93" w:rsidRDefault="00710479" w:rsidP="00710479">
            <w:pPr>
              <w:spacing w:after="0" w:line="240" w:lineRule="auto"/>
              <w:rPr>
                <w:rFonts w:asciiTheme="majorHAnsi" w:hAnsiTheme="majorHAnsi" w:cstheme="majorHAnsi"/>
                <w:sz w:val="20"/>
                <w:szCs w:val="20"/>
                <w:shd w:val="clear" w:color="auto" w:fill="FFFFFF"/>
              </w:rPr>
            </w:pPr>
            <w:proofErr w:type="spellStart"/>
            <w:r>
              <w:rPr>
                <w:rFonts w:asciiTheme="majorHAnsi" w:hAnsiTheme="majorHAnsi" w:cstheme="majorHAnsi"/>
                <w:sz w:val="20"/>
                <w:szCs w:val="20"/>
                <w:shd w:val="clear" w:color="auto" w:fill="FFFFFF"/>
              </w:rPr>
              <w:t>Šis</w:t>
            </w:r>
            <w:proofErr w:type="spellEnd"/>
            <w:r>
              <w:rPr>
                <w:rFonts w:asciiTheme="majorHAnsi" w:hAnsiTheme="majorHAnsi" w:cstheme="majorHAnsi"/>
                <w:sz w:val="20"/>
                <w:szCs w:val="20"/>
                <w:shd w:val="clear" w:color="auto" w:fill="FFFFFF"/>
              </w:rPr>
              <w:t xml:space="preserve"> nav </w:t>
            </w:r>
            <w:proofErr w:type="spellStart"/>
            <w:r>
              <w:rPr>
                <w:rFonts w:asciiTheme="majorHAnsi" w:hAnsiTheme="majorHAnsi" w:cstheme="majorHAnsi"/>
                <w:sz w:val="20"/>
                <w:szCs w:val="20"/>
                <w:shd w:val="clear" w:color="auto" w:fill="FFFFFF"/>
              </w:rPr>
              <w:t>sasitīti</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ar</w:t>
            </w:r>
            <w:proofErr w:type="spellEnd"/>
            <w:r>
              <w:rPr>
                <w:rFonts w:asciiTheme="majorHAnsi" w:hAnsiTheme="majorHAnsi" w:cstheme="majorHAnsi"/>
                <w:sz w:val="20"/>
                <w:szCs w:val="20"/>
                <w:shd w:val="clear" w:color="auto" w:fill="FFFFFF"/>
              </w:rPr>
              <w:t xml:space="preserve"> </w:t>
            </w:r>
            <w:r w:rsidRPr="00940E93">
              <w:rPr>
                <w:rFonts w:asciiTheme="majorHAnsi" w:hAnsiTheme="majorHAnsi" w:cstheme="majorHAnsi"/>
                <w:sz w:val="20"/>
                <w:szCs w:val="20"/>
                <w:shd w:val="clear" w:color="auto" w:fill="FFFFFF"/>
              </w:rPr>
              <w:t>13</w:t>
            </w:r>
            <w:r>
              <w:rPr>
                <w:rFonts w:asciiTheme="majorHAnsi" w:hAnsiTheme="majorHAnsi" w:cstheme="majorHAnsi"/>
                <w:sz w:val="20"/>
                <w:szCs w:val="20"/>
                <w:shd w:val="clear" w:color="auto" w:fill="FFFFFF"/>
              </w:rPr>
              <w:t>. un</w:t>
            </w:r>
            <w:r w:rsidRPr="00940E93">
              <w:rPr>
                <w:rFonts w:asciiTheme="majorHAnsi" w:hAnsiTheme="majorHAnsi" w:cstheme="majorHAnsi"/>
                <w:sz w:val="20"/>
                <w:szCs w:val="20"/>
                <w:shd w:val="clear" w:color="auto" w:fill="FFFFFF"/>
              </w:rPr>
              <w:t xml:space="preserve"> 14</w:t>
            </w:r>
            <w:r>
              <w:rPr>
                <w:rFonts w:asciiTheme="majorHAnsi" w:hAnsiTheme="majorHAnsi" w:cstheme="majorHAnsi"/>
                <w:sz w:val="20"/>
                <w:szCs w:val="20"/>
                <w:shd w:val="clear" w:color="auto" w:fill="FFFFFF"/>
              </w:rPr>
              <w:t>.</w:t>
            </w:r>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pantu</w:t>
            </w:r>
            <w:proofErr w:type="spellEnd"/>
            <w:r w:rsidRPr="00940E93">
              <w:rPr>
                <w:rFonts w:asciiTheme="majorHAnsi" w:hAnsiTheme="majorHAnsi" w:cstheme="majorHAnsi"/>
                <w:sz w:val="20"/>
                <w:szCs w:val="20"/>
                <w:shd w:val="clear" w:color="auto" w:fill="FFFFFF"/>
              </w:rPr>
              <w:t xml:space="preserve">, jo </w:t>
            </w:r>
            <w:proofErr w:type="spellStart"/>
            <w:r w:rsidRPr="00940E93">
              <w:rPr>
                <w:rFonts w:asciiTheme="majorHAnsi" w:hAnsiTheme="majorHAnsi" w:cstheme="majorHAnsi"/>
                <w:sz w:val="20"/>
                <w:szCs w:val="20"/>
                <w:shd w:val="clear" w:color="auto" w:fill="FFFFFF"/>
              </w:rPr>
              <w:t>vispār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jau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nosaka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w:t>
            </w:r>
            <w:r w:rsidRPr="00940E93">
              <w:rPr>
                <w:rFonts w:asciiTheme="majorHAnsi" w:hAnsiTheme="majorHAnsi" w:cstheme="majorHAnsi"/>
                <w:sz w:val="20"/>
                <w:szCs w:val="20"/>
                <w:shd w:val="clear" w:color="auto" w:fill="FFFFFF"/>
              </w:rPr>
              <w:t>e</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problēma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vārda</w:t>
            </w:r>
            <w:proofErr w:type="spellEnd"/>
            <w:r w:rsidRPr="00940E93">
              <w:rPr>
                <w:rFonts w:asciiTheme="majorHAnsi" w:hAnsiTheme="majorHAnsi" w:cstheme="majorHAnsi"/>
                <w:sz w:val="20"/>
                <w:szCs w:val="20"/>
                <w:shd w:val="clear" w:color="auto" w:fill="FFFFFF"/>
              </w:rPr>
              <w:t xml:space="preserve"> </w:t>
            </w:r>
            <w:r>
              <w:rPr>
                <w:rFonts w:asciiTheme="majorHAnsi" w:hAnsiTheme="majorHAnsi" w:cstheme="majorHAnsi"/>
                <w:sz w:val="20"/>
                <w:szCs w:val="20"/>
                <w:shd w:val="clear" w:color="auto" w:fill="FFFFFF"/>
              </w:rPr>
              <w:t>“</w:t>
            </w:r>
            <w:proofErr w:type="spellStart"/>
            <w:proofErr w:type="gramStart"/>
            <w:r w:rsidRPr="00940E93">
              <w:rPr>
                <w:rFonts w:asciiTheme="majorHAnsi" w:hAnsiTheme="majorHAnsi" w:cstheme="majorHAnsi"/>
                <w:sz w:val="20"/>
                <w:szCs w:val="20"/>
                <w:shd w:val="clear" w:color="auto" w:fill="FFFFFF"/>
              </w:rPr>
              <w:t>nosaka</w:t>
            </w:r>
            <w:proofErr w:type="spellEnd"/>
            <w:r>
              <w:rPr>
                <w:rFonts w:asciiTheme="majorHAnsi" w:hAnsiTheme="majorHAnsi" w:cstheme="majorHAnsi"/>
                <w:sz w:val="20"/>
                <w:szCs w:val="20"/>
                <w:shd w:val="clear" w:color="auto" w:fill="FFFFFF"/>
              </w:rPr>
              <w:t>”</w:t>
            </w:r>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lietojamību</w:t>
            </w:r>
            <w:proofErr w:type="spellEnd"/>
            <w:proofErr w:type="gram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dažādos</w:t>
            </w:r>
            <w:proofErr w:type="spellEnd"/>
            <w:r w:rsidRPr="00940E93">
              <w:rPr>
                <w:rFonts w:asciiTheme="majorHAnsi" w:hAnsiTheme="majorHAnsi" w:cstheme="majorHAnsi"/>
                <w:sz w:val="20"/>
                <w:szCs w:val="20"/>
                <w:shd w:val="clear" w:color="auto" w:fill="FFFFFF"/>
              </w:rPr>
              <w:t xml:space="preserve"> NA par </w:t>
            </w:r>
            <w:proofErr w:type="spellStart"/>
            <w:r w:rsidRPr="00940E93">
              <w:rPr>
                <w:rFonts w:asciiTheme="majorHAnsi" w:hAnsiTheme="majorHAnsi" w:cstheme="majorHAnsi"/>
                <w:sz w:val="20"/>
                <w:szCs w:val="20"/>
                <w:shd w:val="clear" w:color="auto" w:fill="FFFFFF"/>
              </w:rPr>
              <w:t>sarkanajam</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līnijām</w:t>
            </w:r>
            <w:proofErr w:type="spellEnd"/>
            <w:r>
              <w:rPr>
                <w:rFonts w:asciiTheme="majorHAnsi" w:hAnsiTheme="majorHAnsi" w:cstheme="majorHAnsi"/>
                <w:sz w:val="20"/>
                <w:szCs w:val="20"/>
                <w:shd w:val="clear" w:color="auto" w:fill="FFFFFF"/>
              </w:rPr>
              <w:t>.</w:t>
            </w:r>
          </w:p>
        </w:tc>
        <w:tc>
          <w:tcPr>
            <w:tcW w:w="1711" w:type="pct"/>
          </w:tcPr>
          <w:p w14:paraId="24493FBE"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r>
      <w:tr w:rsidR="00710479" w:rsidRPr="00940E93" w14:paraId="6A305621" w14:textId="77777777" w:rsidTr="00A65614">
        <w:tc>
          <w:tcPr>
            <w:tcW w:w="1423" w:type="pct"/>
          </w:tcPr>
          <w:p w14:paraId="3AA54809" w14:textId="367C13D0"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Apbūves noteikumu 2.pielikumā ietverts ielu saraksts ar sarkano līniju platumu, nenorādot konkrēto ielu kategorijas pretēji noteikumu Nr.240 88. un 89.punktam.</w:t>
            </w:r>
          </w:p>
        </w:tc>
        <w:tc>
          <w:tcPr>
            <w:tcW w:w="1080" w:type="pct"/>
          </w:tcPr>
          <w:p w14:paraId="71C94A79"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709DB597" w14:textId="64832CE5" w:rsidR="00710479" w:rsidRPr="00940E93" w:rsidRDefault="00710479" w:rsidP="00710479">
            <w:pPr>
              <w:pStyle w:val="tv213"/>
              <w:shd w:val="clear" w:color="auto" w:fill="FFFFFF"/>
              <w:spacing w:before="0" w:beforeAutospacing="0" w:after="0" w:afterAutospacing="0"/>
              <w:jc w:val="both"/>
              <w:rPr>
                <w:rFonts w:asciiTheme="majorHAnsi" w:hAnsiTheme="majorHAnsi" w:cstheme="majorHAnsi"/>
                <w:sz w:val="20"/>
                <w:szCs w:val="20"/>
              </w:rPr>
            </w:pPr>
            <w:r w:rsidRPr="00940E93">
              <w:rPr>
                <w:rFonts w:asciiTheme="majorHAnsi" w:hAnsiTheme="majorHAnsi" w:cstheme="majorHAnsi"/>
                <w:sz w:val="20"/>
                <w:szCs w:val="20"/>
              </w:rPr>
              <w:t xml:space="preserve">VAN nav rakstīts ka kategorijas arī </w:t>
            </w:r>
            <w:r w:rsidRPr="00170C81">
              <w:rPr>
                <w:rFonts w:asciiTheme="majorHAnsi" w:hAnsiTheme="majorHAnsi" w:cstheme="majorHAnsi"/>
                <w:b/>
                <w:bCs/>
                <w:sz w:val="20"/>
                <w:szCs w:val="20"/>
              </w:rPr>
              <w:t>obligāti</w:t>
            </w:r>
            <w:r w:rsidRPr="00940E93">
              <w:rPr>
                <w:rFonts w:asciiTheme="majorHAnsi" w:hAnsiTheme="majorHAnsi" w:cstheme="majorHAnsi"/>
                <w:sz w:val="20"/>
                <w:szCs w:val="20"/>
              </w:rPr>
              <w:t xml:space="preserve"> jāliek apbūves noteikumos</w:t>
            </w:r>
          </w:p>
          <w:p w14:paraId="7A39B7B5"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1349860E" w14:textId="77777777" w:rsidR="00710479" w:rsidRPr="00940E93" w:rsidRDefault="00710479" w:rsidP="00710479">
            <w:pPr>
              <w:pStyle w:val="tv213"/>
              <w:shd w:val="clear" w:color="auto" w:fill="FFFFFF"/>
              <w:spacing w:before="0" w:beforeAutospacing="0" w:after="0" w:afterAutospacing="0"/>
              <w:ind w:firstLine="300"/>
              <w:jc w:val="both"/>
              <w:rPr>
                <w:rFonts w:asciiTheme="majorHAnsi" w:hAnsiTheme="majorHAnsi" w:cstheme="majorHAnsi"/>
                <w:sz w:val="20"/>
                <w:szCs w:val="20"/>
              </w:rPr>
            </w:pPr>
            <w:r w:rsidRPr="00940E93">
              <w:rPr>
                <w:rFonts w:asciiTheme="majorHAnsi" w:hAnsiTheme="majorHAnsi" w:cstheme="majorHAnsi"/>
                <w:sz w:val="20"/>
                <w:szCs w:val="20"/>
              </w:rPr>
              <w:t xml:space="preserve">89. Ielu sarkanās līnijas nosaka atbilstoši katras ielas kategorijai. Vienai ielai tās dažādos posmos var būt arī dažādas </w:t>
            </w:r>
            <w:r w:rsidRPr="00940E93">
              <w:rPr>
                <w:rFonts w:asciiTheme="majorHAnsi" w:hAnsiTheme="majorHAnsi" w:cstheme="majorHAnsi"/>
                <w:b/>
                <w:sz w:val="20"/>
                <w:szCs w:val="20"/>
              </w:rPr>
              <w:t>kategorijas</w:t>
            </w:r>
            <w:r w:rsidRPr="00940E93">
              <w:rPr>
                <w:rFonts w:asciiTheme="majorHAnsi" w:hAnsiTheme="majorHAnsi" w:cstheme="majorHAnsi"/>
                <w:sz w:val="20"/>
                <w:szCs w:val="20"/>
              </w:rPr>
              <w:t xml:space="preserve"> ar atšķirīgu sarkano līniju platumu.</w:t>
            </w:r>
          </w:p>
          <w:p w14:paraId="523AEF8E" w14:textId="207570D8" w:rsidR="00710479" w:rsidRPr="00940E93" w:rsidRDefault="00710479" w:rsidP="00710479">
            <w:pPr>
              <w:pStyle w:val="tv213"/>
              <w:shd w:val="clear" w:color="auto" w:fill="FFFFFF"/>
              <w:spacing w:before="0" w:beforeAutospacing="0" w:after="0" w:afterAutospacing="0"/>
              <w:ind w:firstLine="300"/>
              <w:jc w:val="both"/>
              <w:rPr>
                <w:rFonts w:asciiTheme="majorHAnsi" w:hAnsiTheme="majorHAnsi" w:cstheme="majorHAnsi"/>
                <w:sz w:val="20"/>
                <w:szCs w:val="20"/>
              </w:rPr>
            </w:pPr>
            <w:bookmarkStart w:id="0" w:name="p90"/>
            <w:bookmarkStart w:id="1" w:name="p-469169"/>
            <w:bookmarkEnd w:id="0"/>
            <w:bookmarkEnd w:id="1"/>
            <w:r w:rsidRPr="00940E93">
              <w:rPr>
                <w:rFonts w:asciiTheme="majorHAnsi" w:hAnsiTheme="majorHAnsi" w:cstheme="majorHAnsi"/>
                <w:sz w:val="20"/>
                <w:szCs w:val="20"/>
              </w:rPr>
              <w:t xml:space="preserve">90. Esošajām ielām sarkano līniju platumu nosaka teritorijas plānojuma apbūves noteikumos un grafiski </w:t>
            </w:r>
            <w:r w:rsidRPr="00940E93">
              <w:rPr>
                <w:rFonts w:asciiTheme="majorHAnsi" w:hAnsiTheme="majorHAnsi" w:cstheme="majorHAnsi"/>
                <w:sz w:val="20"/>
                <w:szCs w:val="20"/>
              </w:rPr>
              <w:lastRenderedPageBreak/>
              <w:t>attēlo lokālplānojumā un detālplānojumā atkarībā no izvēlētā mēroga noteiktības.</w:t>
            </w:r>
          </w:p>
        </w:tc>
        <w:tc>
          <w:tcPr>
            <w:tcW w:w="1711" w:type="pct"/>
          </w:tcPr>
          <w:p w14:paraId="3A04EE2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r>
      <w:tr w:rsidR="00710479" w:rsidRPr="00940E93" w14:paraId="13967C0C" w14:textId="77777777" w:rsidTr="00A65614">
        <w:tc>
          <w:tcPr>
            <w:tcW w:w="1423" w:type="pct"/>
          </w:tcPr>
          <w:p w14:paraId="7168E87A" w14:textId="40A5D83D" w:rsidR="00710479" w:rsidRPr="00940E93" w:rsidRDefault="00710479" w:rsidP="00710479">
            <w:p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9.7.</w:t>
            </w:r>
            <w:r w:rsidRPr="00940E93">
              <w:rPr>
                <w:rFonts w:asciiTheme="majorHAnsi" w:hAnsiTheme="majorHAnsi" w:cstheme="majorHAnsi"/>
                <w:sz w:val="20"/>
                <w:szCs w:val="20"/>
                <w:lang w:val="lv-LV"/>
              </w:rPr>
              <w:tab/>
              <w:t>Apbūves noteikumu 31.1. apakšpunktā ietverta prasība pašvaldībai izvērtēt katru gadījumu par ceļa vai ielas izveidi un nosacījumu izvirzīšanu darba uzdevumā nevar tikt attiecināts uz servitūta ceļiem, jo nav ņemts vērā, ka servitūtu nodibināšana, grozīšana vai izbeigšana var notikt vienīgi Latvijas Republikas Civillikumā noteiktajā kārtībā un ceļa servitūtu nodibināšana un uzraudzība ir civiltiesisks jautājums, kas saskaņā ar likumu “Par pašvaldībām” nav pašvaldību kompetencē;</w:t>
            </w:r>
          </w:p>
        </w:tc>
        <w:tc>
          <w:tcPr>
            <w:tcW w:w="1080" w:type="pct"/>
          </w:tcPr>
          <w:p w14:paraId="60AB76AC" w14:textId="78FBF662" w:rsidR="00710479" w:rsidRPr="00940E93" w:rsidRDefault="00710479" w:rsidP="00710479">
            <w:pPr>
              <w:spacing w:after="0" w:line="240" w:lineRule="auto"/>
              <w:rPr>
                <w:rFonts w:asciiTheme="majorHAnsi" w:hAnsiTheme="majorHAnsi" w:cstheme="majorHAnsi"/>
                <w:sz w:val="20"/>
                <w:szCs w:val="20"/>
                <w:shd w:val="clear" w:color="auto" w:fill="FFFFFF"/>
              </w:rPr>
            </w:pPr>
            <w:r w:rsidRPr="00940E93">
              <w:rPr>
                <w:rFonts w:asciiTheme="majorHAnsi" w:hAnsiTheme="majorHAnsi" w:cstheme="majorHAnsi"/>
                <w:sz w:val="20"/>
                <w:szCs w:val="20"/>
                <w:shd w:val="clear" w:color="auto" w:fill="FFFFFF"/>
              </w:rPr>
              <w:t xml:space="preserve">31.1. </w:t>
            </w:r>
            <w:proofErr w:type="spellStart"/>
            <w:r w:rsidRPr="00940E93">
              <w:rPr>
                <w:rFonts w:asciiTheme="majorHAnsi" w:hAnsiTheme="majorHAnsi" w:cstheme="majorHAnsi"/>
                <w:sz w:val="20"/>
                <w:szCs w:val="20"/>
                <w:shd w:val="clear" w:color="auto" w:fill="FFFFFF"/>
              </w:rPr>
              <w:t>Izstrādājot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detālplānojumus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vai</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zemes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ierīcības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projektus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pilsētās</w:t>
            </w:r>
            <w:proofErr w:type="spellEnd"/>
            <w:r w:rsidRPr="00940E93">
              <w:rPr>
                <w:rFonts w:asciiTheme="majorHAnsi" w:hAnsiTheme="majorHAnsi" w:cstheme="majorHAnsi"/>
                <w:sz w:val="20"/>
                <w:szCs w:val="20"/>
                <w:shd w:val="clear" w:color="auto" w:fill="FFFFFF"/>
              </w:rPr>
              <w:t xml:space="preserve"> un </w:t>
            </w:r>
            <w:proofErr w:type="spellStart"/>
            <w:r w:rsidRPr="00940E93">
              <w:rPr>
                <w:rFonts w:asciiTheme="majorHAnsi" w:hAnsiTheme="majorHAnsi" w:cstheme="majorHAnsi"/>
                <w:sz w:val="20"/>
                <w:szCs w:val="20"/>
                <w:shd w:val="clear" w:color="auto" w:fill="FFFFFF"/>
              </w:rPr>
              <w:t>ciemos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ceļi</w:t>
            </w:r>
            <w:proofErr w:type="spellEnd"/>
            <w:r w:rsidRPr="00940E93">
              <w:rPr>
                <w:rFonts w:asciiTheme="majorHAnsi" w:hAnsiTheme="majorHAnsi" w:cstheme="majorHAnsi"/>
                <w:sz w:val="20"/>
                <w:szCs w:val="20"/>
                <w:shd w:val="clear" w:color="auto" w:fill="FFFFFF"/>
              </w:rPr>
              <w:t xml:space="preserve"> un </w:t>
            </w:r>
            <w:proofErr w:type="spellStart"/>
            <w:r w:rsidRPr="00940E93">
              <w:rPr>
                <w:rFonts w:asciiTheme="majorHAnsi" w:hAnsiTheme="majorHAnsi" w:cstheme="majorHAnsi"/>
                <w:sz w:val="20"/>
                <w:szCs w:val="20"/>
                <w:shd w:val="clear" w:color="auto" w:fill="FFFFFF"/>
              </w:rPr>
              <w:t>ielas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jāizdala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kā</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atsevišķas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zemes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vienības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izņemot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gadījumus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kad</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objektīvu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iemeslu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pēc</w:t>
            </w:r>
            <w:proofErr w:type="spellEnd"/>
            <w:r w:rsidRPr="00940E93">
              <w:rPr>
                <w:rFonts w:asciiTheme="majorHAnsi" w:hAnsiTheme="majorHAnsi" w:cstheme="majorHAnsi"/>
                <w:sz w:val="20"/>
                <w:szCs w:val="20"/>
                <w:shd w:val="clear" w:color="auto" w:fill="FFFFFF"/>
              </w:rPr>
              <w:t xml:space="preserve"> to nav </w:t>
            </w:r>
            <w:proofErr w:type="spellStart"/>
            <w:r w:rsidRPr="00940E93">
              <w:rPr>
                <w:rFonts w:asciiTheme="majorHAnsi" w:hAnsiTheme="majorHAnsi" w:cstheme="majorHAnsi"/>
                <w:sz w:val="20"/>
                <w:szCs w:val="20"/>
                <w:shd w:val="clear" w:color="auto" w:fill="FFFFFF"/>
              </w:rPr>
              <w:t>iespējams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izdalīt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atsevišķos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vēsturiskās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apbūves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gadījumos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Lauku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teritorijā</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atļauta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ceļa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servitūta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tiesību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nodibināšana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neizdalot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ceļus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kā</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atsevišķas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zemes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vienības</w:t>
            </w:r>
            <w:proofErr w:type="spellEnd"/>
            <w:r w:rsidRPr="00940E93">
              <w:rPr>
                <w:rFonts w:asciiTheme="majorHAnsi" w:hAnsiTheme="majorHAnsi" w:cstheme="majorHAnsi"/>
                <w:sz w:val="20"/>
                <w:szCs w:val="20"/>
                <w:shd w:val="clear" w:color="auto" w:fill="FFFFFF"/>
              </w:rPr>
              <w:t xml:space="preserve">. Pašvaldība </w:t>
            </w:r>
            <w:proofErr w:type="spellStart"/>
            <w:r w:rsidRPr="00940E93">
              <w:rPr>
                <w:rFonts w:asciiTheme="majorHAnsi" w:hAnsiTheme="majorHAnsi" w:cstheme="majorHAnsi"/>
                <w:sz w:val="20"/>
                <w:szCs w:val="20"/>
                <w:shd w:val="clear" w:color="auto" w:fill="FFFFFF"/>
              </w:rPr>
              <w:t>izvērtē</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katru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gadījumu</w:t>
            </w:r>
            <w:proofErr w:type="spellEnd"/>
            <w:r w:rsidRPr="00940E93">
              <w:rPr>
                <w:rFonts w:asciiTheme="majorHAnsi" w:hAnsiTheme="majorHAnsi" w:cstheme="majorHAnsi"/>
                <w:sz w:val="20"/>
                <w:szCs w:val="20"/>
                <w:shd w:val="clear" w:color="auto" w:fill="FFFFFF"/>
              </w:rPr>
              <w:t xml:space="preserve"> un </w:t>
            </w:r>
            <w:proofErr w:type="spellStart"/>
            <w:r w:rsidRPr="00940E93">
              <w:rPr>
                <w:rFonts w:asciiTheme="majorHAnsi" w:hAnsiTheme="majorHAnsi" w:cstheme="majorHAnsi"/>
                <w:sz w:val="20"/>
                <w:szCs w:val="20"/>
                <w:shd w:val="clear" w:color="auto" w:fill="FFFFFF"/>
              </w:rPr>
              <w:t>izvirza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nosacījumus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darba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uzdevumā</w:t>
            </w:r>
            <w:proofErr w:type="spellEnd"/>
            <w:r w:rsidRPr="00940E93">
              <w:rPr>
                <w:rFonts w:asciiTheme="majorHAnsi" w:hAnsiTheme="majorHAnsi" w:cstheme="majorHAnsi"/>
                <w:sz w:val="20"/>
                <w:szCs w:val="20"/>
                <w:shd w:val="clear" w:color="auto" w:fill="FFFFFF"/>
              </w:rPr>
              <w:t xml:space="preserve">. </w:t>
            </w:r>
          </w:p>
        </w:tc>
        <w:tc>
          <w:tcPr>
            <w:tcW w:w="786" w:type="pct"/>
          </w:tcPr>
          <w:p w14:paraId="6B2EF041" w14:textId="109B62D9" w:rsidR="00710479" w:rsidRPr="00940E93" w:rsidRDefault="00710479" w:rsidP="00710479">
            <w:pPr>
              <w:spacing w:after="0" w:line="240" w:lineRule="auto"/>
              <w:rPr>
                <w:rFonts w:asciiTheme="majorHAnsi" w:hAnsiTheme="majorHAnsi" w:cstheme="majorHAnsi"/>
                <w:sz w:val="20"/>
                <w:szCs w:val="20"/>
                <w:shd w:val="clear" w:color="auto" w:fill="FFFFFF"/>
              </w:rPr>
            </w:pPr>
            <w:proofErr w:type="spellStart"/>
            <w:r>
              <w:rPr>
                <w:rFonts w:asciiTheme="majorHAnsi" w:hAnsiTheme="majorHAnsi" w:cstheme="majorHAnsi"/>
                <w:sz w:val="20"/>
                <w:szCs w:val="20"/>
                <w:shd w:val="clear" w:color="auto" w:fill="FFFFFF"/>
              </w:rPr>
              <w:t>Nebūtiska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neatbilstība</w:t>
            </w:r>
            <w:proofErr w:type="spellEnd"/>
            <w:r>
              <w:rPr>
                <w:rFonts w:asciiTheme="majorHAnsi" w:hAnsiTheme="majorHAnsi" w:cstheme="majorHAnsi"/>
                <w:sz w:val="20"/>
                <w:szCs w:val="20"/>
                <w:shd w:val="clear" w:color="auto" w:fill="FFFFFF"/>
              </w:rPr>
              <w:t>.</w:t>
            </w:r>
          </w:p>
          <w:p w14:paraId="2CF4831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1711" w:type="pct"/>
          </w:tcPr>
          <w:p w14:paraId="3B56FF8C" w14:textId="747888B3"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Būtība ir tajā, ka lauku teritorijā piekļūšanas nodrošināšanai zemes vienībai var netikt izdalīts ceļš kā atsevišķa zemes vienība. ZIP vai detālplānojumā vienmēr tiek norādīts kā iespējamais servitūts, kam izstrādes brīdī pat netiek piešķirts apgrūtinājuma kods (ZIP) un tam ir informatīva nozīme. Izstrādājot ZIP vai detālplānojumu pašvaldība jebkurā gadījumā izvērtē to rakstot darba uzdevumu.</w:t>
            </w:r>
          </w:p>
        </w:tc>
      </w:tr>
      <w:tr w:rsidR="00710479" w:rsidRPr="00940E93" w14:paraId="0B404F7D" w14:textId="77777777" w:rsidTr="00A65614">
        <w:tc>
          <w:tcPr>
            <w:tcW w:w="1423" w:type="pct"/>
          </w:tcPr>
          <w:p w14:paraId="7B6662A6" w14:textId="4CC6253D" w:rsidR="00710479" w:rsidRPr="00940E93" w:rsidRDefault="00710479" w:rsidP="00710479">
            <w:pPr>
              <w:widowControl/>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9.8.</w:t>
            </w:r>
            <w:r w:rsidRPr="00940E93">
              <w:rPr>
                <w:rFonts w:asciiTheme="majorHAnsi" w:hAnsiTheme="majorHAnsi" w:cstheme="majorHAnsi"/>
                <w:sz w:val="20"/>
                <w:szCs w:val="20"/>
                <w:lang w:val="lv-LV"/>
              </w:rPr>
              <w:tab/>
              <w:t xml:space="preserve">Pastāv neatbilstība starp Salacgrīvas novada TP saistošajam daļām - apbūves noteikumiem un grafisko daļu. Daļa apbūves noteikumos noteikto funkcionālo zonu </w:t>
            </w:r>
            <w:proofErr w:type="spellStart"/>
            <w:r w:rsidRPr="00940E93">
              <w:rPr>
                <w:rFonts w:asciiTheme="majorHAnsi" w:hAnsiTheme="majorHAnsi" w:cstheme="majorHAnsi"/>
                <w:sz w:val="20"/>
                <w:szCs w:val="20"/>
                <w:lang w:val="lv-LV"/>
              </w:rPr>
              <w:t>apakšzonas</w:t>
            </w:r>
            <w:proofErr w:type="spellEnd"/>
            <w:r w:rsidRPr="00940E93">
              <w:rPr>
                <w:rFonts w:asciiTheme="majorHAnsi" w:hAnsiTheme="majorHAnsi" w:cstheme="majorHAnsi"/>
                <w:sz w:val="20"/>
                <w:szCs w:val="20"/>
                <w:lang w:val="lv-LV"/>
              </w:rPr>
              <w:t xml:space="preserve"> (piemēram, </w:t>
            </w:r>
            <w:proofErr w:type="spellStart"/>
            <w:r w:rsidRPr="00940E93">
              <w:rPr>
                <w:rFonts w:asciiTheme="majorHAnsi" w:hAnsiTheme="majorHAnsi" w:cstheme="majorHAnsi"/>
                <w:sz w:val="20"/>
                <w:szCs w:val="20"/>
                <w:lang w:val="lv-LV"/>
              </w:rPr>
              <w:t>apakšzonas</w:t>
            </w:r>
            <w:proofErr w:type="spellEnd"/>
            <w:r w:rsidRPr="00940E93">
              <w:rPr>
                <w:rFonts w:asciiTheme="majorHAnsi" w:hAnsiTheme="majorHAnsi" w:cstheme="majorHAnsi"/>
                <w:sz w:val="20"/>
                <w:szCs w:val="20"/>
                <w:lang w:val="lv-LV"/>
              </w:rPr>
              <w:t xml:space="preserve"> ar indeksu DzS1 un DzM1) un teritorijas ar īpašiem noteikumiem nav attēlotas grafiskajā daļā (piemēram, </w:t>
            </w:r>
            <w:r w:rsidRPr="00940E93">
              <w:rPr>
                <w:rFonts w:asciiTheme="majorHAnsi" w:hAnsiTheme="majorHAnsi" w:cstheme="majorHAnsi"/>
                <w:i/>
                <w:sz w:val="20"/>
                <w:szCs w:val="20"/>
                <w:lang w:val="lv-LV"/>
              </w:rPr>
              <w:t xml:space="preserve">Teritorija, kurai izstrādājams lokālplānojums (TIN21- TIN24 </w:t>
            </w:r>
            <w:r w:rsidRPr="00940E93">
              <w:rPr>
                <w:rFonts w:asciiTheme="majorHAnsi" w:hAnsiTheme="majorHAnsi" w:cstheme="majorHAnsi"/>
                <w:sz w:val="20"/>
                <w:szCs w:val="20"/>
                <w:lang w:val="lv-LV"/>
              </w:rPr>
              <w:t xml:space="preserve">vai </w:t>
            </w:r>
            <w:r w:rsidRPr="00940E93">
              <w:rPr>
                <w:rFonts w:asciiTheme="majorHAnsi" w:hAnsiTheme="majorHAnsi" w:cstheme="majorHAnsi"/>
                <w:i/>
                <w:sz w:val="20"/>
                <w:szCs w:val="20"/>
                <w:lang w:val="lv-LV"/>
              </w:rPr>
              <w:t>teritorija ar īpašiem noteikumiem</w:t>
            </w:r>
            <w:r w:rsidRPr="00940E93">
              <w:rPr>
                <w:rFonts w:asciiTheme="majorHAnsi" w:hAnsiTheme="majorHAnsi" w:cstheme="majorHAnsi"/>
                <w:sz w:val="20"/>
                <w:szCs w:val="20"/>
                <w:lang w:val="lv-LV"/>
              </w:rPr>
              <w:t xml:space="preserve"> </w:t>
            </w:r>
            <w:r w:rsidRPr="00940E93">
              <w:rPr>
                <w:rFonts w:asciiTheme="majorHAnsi" w:hAnsiTheme="majorHAnsi" w:cstheme="majorHAnsi"/>
                <w:i/>
                <w:sz w:val="20"/>
                <w:szCs w:val="20"/>
                <w:lang w:val="lv-LV"/>
              </w:rPr>
              <w:t>Vietējas nozīmes kultūrvēsturiskā un dabas teritorija (TIN41) ))</w:t>
            </w:r>
            <w:r w:rsidRPr="00940E93">
              <w:rPr>
                <w:rFonts w:asciiTheme="majorHAnsi" w:hAnsiTheme="majorHAnsi" w:cstheme="majorHAnsi"/>
                <w:sz w:val="20"/>
                <w:szCs w:val="20"/>
                <w:lang w:val="lv-LV"/>
              </w:rPr>
              <w:t xml:space="preserve">. Neskatoties uz to, ka </w:t>
            </w:r>
            <w:r w:rsidRPr="00940E93">
              <w:rPr>
                <w:rFonts w:asciiTheme="majorHAnsi" w:eastAsia="Times New Roman" w:hAnsiTheme="majorHAnsi" w:cstheme="majorHAnsi"/>
                <w:i/>
                <w:sz w:val="20"/>
                <w:szCs w:val="20"/>
                <w:bdr w:val="none" w:sz="0" w:space="0" w:color="auto" w:frame="1"/>
                <w:lang w:val="lv-LV" w:eastAsia="lv-LV"/>
              </w:rPr>
              <w:t>Dabas un apstādījumu teritorijā (DA)</w:t>
            </w:r>
            <w:r w:rsidRPr="00940E93">
              <w:rPr>
                <w:rFonts w:asciiTheme="majorHAnsi" w:eastAsia="Times New Roman" w:hAnsiTheme="majorHAnsi" w:cstheme="majorHAnsi"/>
                <w:sz w:val="20"/>
                <w:szCs w:val="20"/>
                <w:bdr w:val="none" w:sz="0" w:space="0" w:color="auto" w:frame="1"/>
                <w:lang w:val="lv-LV" w:eastAsia="lv-LV"/>
              </w:rPr>
              <w:t xml:space="preserve"> kā </w:t>
            </w:r>
            <w:proofErr w:type="spellStart"/>
            <w:r w:rsidRPr="00940E93">
              <w:rPr>
                <w:rFonts w:asciiTheme="majorHAnsi" w:eastAsia="Times New Roman" w:hAnsiTheme="majorHAnsi" w:cstheme="majorHAnsi"/>
                <w:sz w:val="20"/>
                <w:szCs w:val="20"/>
                <w:bdr w:val="none" w:sz="0" w:space="0" w:color="auto" w:frame="1"/>
                <w:lang w:val="lv-LV" w:eastAsia="lv-LV"/>
              </w:rPr>
              <w:t>papildizmantošana</w:t>
            </w:r>
            <w:proofErr w:type="spellEnd"/>
            <w:r w:rsidRPr="00940E93">
              <w:rPr>
                <w:rFonts w:asciiTheme="majorHAnsi" w:eastAsia="Times New Roman" w:hAnsiTheme="majorHAnsi" w:cstheme="majorHAnsi"/>
                <w:sz w:val="20"/>
                <w:szCs w:val="20"/>
                <w:bdr w:val="none" w:sz="0" w:space="0" w:color="auto" w:frame="1"/>
                <w:lang w:val="lv-LV" w:eastAsia="lv-LV"/>
              </w:rPr>
              <w:t xml:space="preserve"> atļauta, minimālā </w:t>
            </w:r>
            <w:proofErr w:type="spellStart"/>
            <w:r w:rsidRPr="00940E93">
              <w:rPr>
                <w:rFonts w:asciiTheme="majorHAnsi" w:eastAsia="Times New Roman" w:hAnsiTheme="majorHAnsi" w:cstheme="majorHAnsi"/>
                <w:sz w:val="20"/>
                <w:szCs w:val="20"/>
                <w:bdr w:val="none" w:sz="0" w:space="0" w:color="auto" w:frame="1"/>
                <w:lang w:val="lv-LV" w:eastAsia="lv-LV"/>
              </w:rPr>
              <w:t>jaunveidojamās</w:t>
            </w:r>
            <w:proofErr w:type="spellEnd"/>
            <w:r w:rsidRPr="00940E93">
              <w:rPr>
                <w:rFonts w:asciiTheme="majorHAnsi" w:eastAsia="Times New Roman" w:hAnsiTheme="majorHAnsi" w:cstheme="majorHAnsi"/>
                <w:sz w:val="20"/>
                <w:szCs w:val="20"/>
                <w:bdr w:val="none" w:sz="0" w:space="0" w:color="auto" w:frame="1"/>
                <w:lang w:val="lv-LV" w:eastAsia="lv-LV"/>
              </w:rPr>
              <w:t xml:space="preserve"> zemes vienības platība un apbūves parametri nav noteikti; </w:t>
            </w:r>
          </w:p>
        </w:tc>
        <w:tc>
          <w:tcPr>
            <w:tcW w:w="1080" w:type="pct"/>
          </w:tcPr>
          <w:p w14:paraId="21E3769D"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2E4A25B3" w14:textId="093A3E36"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rPr>
              <w:t xml:space="preserve">DA to </w:t>
            </w:r>
            <w:proofErr w:type="spellStart"/>
            <w:r w:rsidRPr="00940E93">
              <w:rPr>
                <w:rFonts w:asciiTheme="majorHAnsi" w:hAnsiTheme="majorHAnsi" w:cstheme="majorHAnsi"/>
                <w:sz w:val="20"/>
                <w:szCs w:val="20"/>
                <w:shd w:val="clear" w:color="auto" w:fill="FFFFFF"/>
              </w:rPr>
              <w:t>izvēlas</w:t>
            </w:r>
            <w:proofErr w:type="spellEnd"/>
            <w:r w:rsidRPr="00940E93">
              <w:rPr>
                <w:rFonts w:asciiTheme="majorHAnsi" w:hAnsiTheme="majorHAnsi" w:cstheme="majorHAnsi"/>
                <w:sz w:val="20"/>
                <w:szCs w:val="20"/>
                <w:shd w:val="clear" w:color="auto" w:fill="FFFFFF"/>
              </w:rPr>
              <w:t xml:space="preserve"> no </w:t>
            </w:r>
            <w:proofErr w:type="spellStart"/>
            <w:r w:rsidRPr="00940E93">
              <w:rPr>
                <w:rFonts w:asciiTheme="majorHAnsi" w:hAnsiTheme="majorHAnsi" w:cstheme="majorHAnsi"/>
                <w:sz w:val="20"/>
                <w:szCs w:val="20"/>
                <w:shd w:val="clear" w:color="auto" w:fill="FFFFFF"/>
              </w:rPr>
              <w:t>attiecīgajiem</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veidiem</w:t>
            </w:r>
            <w:proofErr w:type="spellEnd"/>
            <w:r w:rsidRPr="00940E93">
              <w:rPr>
                <w:rFonts w:asciiTheme="majorHAnsi" w:hAnsiTheme="majorHAnsi" w:cstheme="majorHAnsi"/>
                <w:sz w:val="20"/>
                <w:szCs w:val="20"/>
                <w:shd w:val="clear" w:color="auto" w:fill="FFFFFF"/>
              </w:rPr>
              <w:t xml:space="preserve"> un to </w:t>
            </w:r>
            <w:proofErr w:type="spellStart"/>
            <w:r w:rsidRPr="00940E93">
              <w:rPr>
                <w:rFonts w:asciiTheme="majorHAnsi" w:hAnsiTheme="majorHAnsi" w:cstheme="majorHAnsi"/>
                <w:sz w:val="20"/>
                <w:szCs w:val="20"/>
                <w:shd w:val="clear" w:color="auto" w:fill="FFFFFF"/>
              </w:rPr>
              <w:t>nedublē</w:t>
            </w:r>
            <w:proofErr w:type="spellEnd"/>
            <w:r>
              <w:rPr>
                <w:rFonts w:asciiTheme="majorHAnsi" w:hAnsiTheme="majorHAnsi" w:cstheme="majorHAnsi"/>
                <w:sz w:val="20"/>
                <w:szCs w:val="20"/>
                <w:shd w:val="clear" w:color="auto" w:fill="FFFFFF"/>
              </w:rPr>
              <w:t xml:space="preserve">. Zonas sir </w:t>
            </w:r>
            <w:proofErr w:type="spellStart"/>
            <w:r>
              <w:rPr>
                <w:rFonts w:asciiTheme="majorHAnsi" w:hAnsiTheme="majorHAnsi" w:cstheme="majorHAnsi"/>
                <w:sz w:val="20"/>
                <w:szCs w:val="20"/>
                <w:shd w:val="clear" w:color="auto" w:fill="FFFFFF"/>
              </w:rPr>
              <w:t>attēlotas</w:t>
            </w:r>
            <w:proofErr w:type="spellEnd"/>
            <w:r>
              <w:rPr>
                <w:rFonts w:asciiTheme="majorHAnsi" w:hAnsiTheme="majorHAnsi" w:cstheme="majorHAnsi"/>
                <w:sz w:val="20"/>
                <w:szCs w:val="20"/>
                <w:shd w:val="clear" w:color="auto" w:fill="FFFFFF"/>
              </w:rPr>
              <w:t xml:space="preserve">. </w:t>
            </w:r>
          </w:p>
        </w:tc>
        <w:tc>
          <w:tcPr>
            <w:tcW w:w="1711" w:type="pct"/>
          </w:tcPr>
          <w:p w14:paraId="3BAD9007" w14:textId="1A7158BD"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Grafiskajā daļā uzrādītas teritorijās, kurās izstrādājams lokālplānojums – teritorijās, kurās ir esoša Vasarnīcu un dārza māju apbūve. Iedzīvotāji var turpināt esošo saimniecisko darbību atbilstoši TP norādītai funkcionālai zonai, bet ja vēlas, lai tā taptu “par pastāvīgu dzīvojamo apbūves teritoriju, ievērojot šādus nosacījumus: ….”, tad ir jāizstrādā lokālplānojums</w:t>
            </w:r>
            <w:r>
              <w:rPr>
                <w:rFonts w:asciiTheme="majorHAnsi" w:hAnsiTheme="majorHAnsi" w:cstheme="majorHAnsi"/>
                <w:sz w:val="20"/>
                <w:szCs w:val="20"/>
                <w:shd w:val="clear" w:color="auto" w:fill="FFFFFF"/>
                <w:lang w:val="lv-LV"/>
              </w:rPr>
              <w:t>.</w:t>
            </w:r>
          </w:p>
          <w:p w14:paraId="0C7B3509"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55E327C9" w14:textId="1E840359"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Par DA teritorijām vispār ir dīvaini noteikt apbūves parametrus</w:t>
            </w:r>
            <w:r>
              <w:rPr>
                <w:rFonts w:asciiTheme="majorHAnsi" w:hAnsiTheme="majorHAnsi" w:cstheme="majorHAnsi"/>
                <w:sz w:val="20"/>
                <w:szCs w:val="20"/>
                <w:shd w:val="clear" w:color="auto" w:fill="FFFFFF"/>
                <w:lang w:val="lv-LV"/>
              </w:rPr>
              <w:t>,</w:t>
            </w:r>
            <w:r w:rsidRPr="00940E93">
              <w:rPr>
                <w:rFonts w:asciiTheme="majorHAnsi" w:hAnsiTheme="majorHAnsi" w:cstheme="majorHAnsi"/>
                <w:sz w:val="20"/>
                <w:szCs w:val="20"/>
                <w:shd w:val="clear" w:color="auto" w:fill="FFFFFF"/>
                <w:lang w:val="lv-LV"/>
              </w:rPr>
              <w:t xml:space="preserve"> piemēram</w:t>
            </w:r>
            <w:r>
              <w:rPr>
                <w:rFonts w:asciiTheme="majorHAnsi" w:hAnsiTheme="majorHAnsi" w:cstheme="majorHAnsi"/>
                <w:sz w:val="20"/>
                <w:szCs w:val="20"/>
                <w:shd w:val="clear" w:color="auto" w:fill="FFFFFF"/>
                <w:lang w:val="lv-LV"/>
              </w:rPr>
              <w:t>,</w:t>
            </w:r>
            <w:r w:rsidRPr="00940E93">
              <w:rPr>
                <w:rFonts w:asciiTheme="majorHAnsi" w:hAnsiTheme="majorHAnsi" w:cstheme="majorHAnsi"/>
                <w:sz w:val="20"/>
                <w:szCs w:val="20"/>
                <w:shd w:val="clear" w:color="auto" w:fill="FFFFFF"/>
                <w:lang w:val="lv-LV"/>
              </w:rPr>
              <w:t xml:space="preserve"> kapsētām.</w:t>
            </w:r>
            <w:r>
              <w:rPr>
                <w:rFonts w:asciiTheme="majorHAnsi" w:hAnsiTheme="majorHAnsi" w:cstheme="majorHAnsi"/>
                <w:sz w:val="20"/>
                <w:szCs w:val="20"/>
                <w:shd w:val="clear" w:color="auto" w:fill="FFFFFF"/>
                <w:lang w:val="lv-LV"/>
              </w:rPr>
              <w:t xml:space="preserve"> </w:t>
            </w:r>
            <w:r w:rsidRPr="00940E93">
              <w:rPr>
                <w:rFonts w:asciiTheme="majorHAnsi" w:hAnsiTheme="majorHAnsi" w:cstheme="majorHAnsi"/>
                <w:sz w:val="20"/>
                <w:szCs w:val="20"/>
                <w:shd w:val="clear" w:color="auto" w:fill="FFFFFF"/>
                <w:lang w:val="lv-LV"/>
              </w:rPr>
              <w:t>Turklāt, Salacgrīvā šis zonējums ir tikai pašvaldības īpašumos – pašvaldībai ir tiesības neplānot savā īpašumā apbūvi turpmākajos 20 gados. Un, ja nav plānota apbūvē, tad kādi apbūves parametri būtu nosakāmi?</w:t>
            </w:r>
          </w:p>
          <w:p w14:paraId="067A37F1"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19C0DDF0"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Turklāt sadaļā 4.9.1.5. Citi noteikumi ir punkti: </w:t>
            </w:r>
          </w:p>
          <w:p w14:paraId="170EFB4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326. Maksimāli pieļaujamais </w:t>
            </w:r>
            <w:proofErr w:type="spellStart"/>
            <w:r w:rsidRPr="00940E93">
              <w:rPr>
                <w:rFonts w:asciiTheme="majorHAnsi" w:hAnsiTheme="majorHAnsi" w:cstheme="majorHAnsi"/>
                <w:sz w:val="20"/>
                <w:szCs w:val="20"/>
                <w:shd w:val="clear" w:color="auto" w:fill="FFFFFF"/>
                <w:lang w:val="lv-LV"/>
              </w:rPr>
              <w:t>papildizmantošanu</w:t>
            </w:r>
            <w:proofErr w:type="spellEnd"/>
            <w:r w:rsidRPr="00940E93">
              <w:rPr>
                <w:rFonts w:asciiTheme="majorHAnsi" w:hAnsiTheme="majorHAnsi" w:cstheme="majorHAnsi"/>
                <w:sz w:val="20"/>
                <w:szCs w:val="20"/>
                <w:shd w:val="clear" w:color="auto" w:fill="FFFFFF"/>
                <w:lang w:val="lv-LV"/>
              </w:rPr>
              <w:t xml:space="preserve"> īpatsvars ir līdz 5% no teritorijas, kas precizējams būvprojektā, atkarībā no zemesgabala platības.</w:t>
            </w:r>
          </w:p>
          <w:p w14:paraId="34CBC53D"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327. Ja paredzētā </w:t>
            </w:r>
            <w:proofErr w:type="spellStart"/>
            <w:r w:rsidRPr="00940E93">
              <w:rPr>
                <w:rFonts w:asciiTheme="majorHAnsi" w:hAnsiTheme="majorHAnsi" w:cstheme="majorHAnsi"/>
                <w:sz w:val="20"/>
                <w:szCs w:val="20"/>
                <w:shd w:val="clear" w:color="auto" w:fill="FFFFFF"/>
                <w:lang w:val="lv-LV"/>
              </w:rPr>
              <w:t>papildizmantošana</w:t>
            </w:r>
            <w:proofErr w:type="spellEnd"/>
            <w:r w:rsidRPr="00940E93">
              <w:rPr>
                <w:rFonts w:asciiTheme="majorHAnsi" w:hAnsiTheme="majorHAnsi" w:cstheme="majorHAnsi"/>
                <w:sz w:val="20"/>
                <w:szCs w:val="20"/>
                <w:shd w:val="clear" w:color="auto" w:fill="FFFFFF"/>
                <w:lang w:val="lv-LV"/>
              </w:rPr>
              <w:t xml:space="preserve"> pārsniedz 5 % no dabas apstādījumu teritorijas, pirms būvatļaujas saņemšanas ir jāveic būvniecības ieceres publiskā </w:t>
            </w:r>
            <w:r w:rsidRPr="00940E93">
              <w:rPr>
                <w:rFonts w:asciiTheme="majorHAnsi" w:hAnsiTheme="majorHAnsi" w:cstheme="majorHAnsi"/>
                <w:sz w:val="20"/>
                <w:szCs w:val="20"/>
                <w:shd w:val="clear" w:color="auto" w:fill="FFFFFF"/>
                <w:lang w:val="lv-LV"/>
              </w:rPr>
              <w:lastRenderedPageBreak/>
              <w:t>apspriešana atbilstoši</w:t>
            </w:r>
          </w:p>
          <w:p w14:paraId="085A9034"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normatīvo aktu prasībām.</w:t>
            </w:r>
          </w:p>
          <w:p w14:paraId="155AC29B"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55E87220" w14:textId="49812288"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Turklāt Carnikavas novada TP, kas apstiprināts ar Carnikavas domes 2019.gada 20.februāra saistošajiem noteikumiem Nr.SN/2019/8 un ir spēkā esošs</w:t>
            </w:r>
            <w:r>
              <w:rPr>
                <w:rFonts w:asciiTheme="majorHAnsi" w:hAnsiTheme="majorHAnsi" w:cstheme="majorHAnsi"/>
                <w:sz w:val="20"/>
                <w:szCs w:val="20"/>
                <w:shd w:val="clear" w:color="auto" w:fill="FFFFFF"/>
                <w:lang w:val="lv-LV"/>
              </w:rPr>
              <w:t>,</w:t>
            </w:r>
            <w:r w:rsidRPr="00940E93">
              <w:rPr>
                <w:rFonts w:asciiTheme="majorHAnsi" w:hAnsiTheme="majorHAnsi" w:cstheme="majorHAnsi"/>
                <w:sz w:val="20"/>
                <w:szCs w:val="20"/>
                <w:shd w:val="clear" w:color="auto" w:fill="FFFFFF"/>
                <w:lang w:val="lv-LV"/>
              </w:rPr>
              <w:t xml:space="preserve"> ir šāda veida apraksts DA teritorijai.</w:t>
            </w:r>
          </w:p>
          <w:p w14:paraId="6D95147F" w14:textId="3E369022" w:rsidR="00710479" w:rsidRPr="00940E93" w:rsidRDefault="00E42CDD" w:rsidP="00710479">
            <w:pPr>
              <w:tabs>
                <w:tab w:val="left" w:pos="426"/>
              </w:tabs>
              <w:spacing w:after="0" w:line="240" w:lineRule="auto"/>
              <w:jc w:val="both"/>
              <w:rPr>
                <w:rFonts w:asciiTheme="majorHAnsi" w:hAnsiTheme="majorHAnsi" w:cstheme="majorHAnsi"/>
                <w:sz w:val="20"/>
                <w:szCs w:val="20"/>
                <w:shd w:val="clear" w:color="auto" w:fill="FFFFFF"/>
                <w:lang w:val="lv-LV"/>
              </w:rPr>
            </w:pPr>
            <w:hyperlink r:id="rId11" w:anchor="document_14053" w:history="1">
              <w:r w:rsidR="00710479" w:rsidRPr="00940E93">
                <w:rPr>
                  <w:rStyle w:val="Hyperlink"/>
                  <w:rFonts w:asciiTheme="majorHAnsi" w:hAnsiTheme="majorHAnsi" w:cstheme="majorHAnsi"/>
                  <w:color w:val="auto"/>
                  <w:sz w:val="20"/>
                  <w:szCs w:val="20"/>
                  <w:shd w:val="clear" w:color="auto" w:fill="FFFFFF"/>
                  <w:lang w:val="lv-LV"/>
                </w:rPr>
                <w:t>https://geolatvija.lv/geo/tapis#document_14053</w:t>
              </w:r>
            </w:hyperlink>
            <w:r w:rsidR="00710479" w:rsidRPr="00940E93">
              <w:rPr>
                <w:rFonts w:asciiTheme="majorHAnsi" w:hAnsiTheme="majorHAnsi" w:cstheme="majorHAnsi"/>
                <w:sz w:val="20"/>
                <w:szCs w:val="20"/>
                <w:shd w:val="clear" w:color="auto" w:fill="FFFFFF"/>
                <w:lang w:val="lv-LV"/>
              </w:rPr>
              <w:t xml:space="preserve"> </w:t>
            </w:r>
          </w:p>
        </w:tc>
      </w:tr>
      <w:tr w:rsidR="00710479" w:rsidRPr="00940E93" w14:paraId="3CBACC96" w14:textId="77777777" w:rsidTr="00A65614">
        <w:tc>
          <w:tcPr>
            <w:tcW w:w="1423" w:type="pct"/>
          </w:tcPr>
          <w:p w14:paraId="6285446E" w14:textId="688F7883" w:rsidR="00710479" w:rsidRPr="00940E93" w:rsidRDefault="00710479" w:rsidP="00710479">
            <w:pPr>
              <w:widowControl/>
              <w:tabs>
                <w:tab w:val="left" w:pos="426"/>
              </w:tabs>
              <w:spacing w:after="0" w:line="240" w:lineRule="auto"/>
              <w:ind w:left="-57"/>
              <w:jc w:val="both"/>
              <w:rPr>
                <w:rFonts w:asciiTheme="majorHAnsi" w:eastAsia="Times New Roman" w:hAnsiTheme="majorHAnsi" w:cstheme="majorHAnsi"/>
                <w:sz w:val="20"/>
                <w:szCs w:val="20"/>
                <w:bdr w:val="none" w:sz="0" w:space="0" w:color="auto" w:frame="1"/>
                <w:lang w:val="lv-LV" w:eastAsia="lv-LV"/>
              </w:rPr>
            </w:pPr>
            <w:r w:rsidRPr="00940E93">
              <w:rPr>
                <w:rFonts w:asciiTheme="majorHAnsi" w:hAnsiTheme="majorHAnsi" w:cstheme="majorHAnsi"/>
                <w:sz w:val="20"/>
                <w:szCs w:val="20"/>
                <w:lang w:val="lv-LV"/>
              </w:rPr>
              <w:lastRenderedPageBreak/>
              <w:t>9.9.</w:t>
            </w:r>
            <w:r w:rsidRPr="00940E93">
              <w:rPr>
                <w:rFonts w:asciiTheme="majorHAnsi" w:hAnsiTheme="majorHAnsi" w:cstheme="majorHAnsi"/>
                <w:sz w:val="20"/>
                <w:szCs w:val="20"/>
                <w:lang w:val="lv-LV"/>
              </w:rPr>
              <w:tab/>
              <w:t>A</w:t>
            </w:r>
            <w:r w:rsidRPr="00940E93">
              <w:rPr>
                <w:rFonts w:asciiTheme="majorHAnsi" w:eastAsia="Times New Roman" w:hAnsiTheme="majorHAnsi" w:cstheme="majorHAnsi"/>
                <w:sz w:val="20"/>
                <w:szCs w:val="20"/>
                <w:bdr w:val="none" w:sz="0" w:space="0" w:color="auto" w:frame="1"/>
                <w:lang w:val="lv-LV" w:eastAsia="lv-LV"/>
              </w:rPr>
              <w:t xml:space="preserve">pbūves noteikumu </w:t>
            </w:r>
            <w:r w:rsidRPr="00940E93">
              <w:rPr>
                <w:rFonts w:asciiTheme="majorHAnsi" w:hAnsiTheme="majorHAnsi" w:cstheme="majorHAnsi"/>
                <w:sz w:val="20"/>
                <w:szCs w:val="20"/>
              </w:rPr>
              <w:t xml:space="preserve">35.3.apakšpunkta </w:t>
            </w:r>
            <w:proofErr w:type="spellStart"/>
            <w:r w:rsidRPr="00940E93">
              <w:rPr>
                <w:rFonts w:asciiTheme="majorHAnsi" w:hAnsiTheme="majorHAnsi" w:cstheme="majorHAnsi"/>
                <w:sz w:val="20"/>
                <w:szCs w:val="20"/>
              </w:rPr>
              <w:t>nosacījumu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prasības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definējot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detālplānojumu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īstenošanas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kārtību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maldinošas</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neatbilstošas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Likuma</w:t>
            </w:r>
            <w:proofErr w:type="spellEnd"/>
            <w:r w:rsidRPr="00940E93">
              <w:rPr>
                <w:rFonts w:asciiTheme="majorHAnsi" w:hAnsiTheme="majorHAnsi" w:cstheme="majorHAnsi"/>
                <w:sz w:val="20"/>
                <w:szCs w:val="20"/>
              </w:rPr>
              <w:t xml:space="preserve"> 29.panta un 31.panta </w:t>
            </w:r>
            <w:proofErr w:type="spellStart"/>
            <w:r w:rsidRPr="00940E93">
              <w:rPr>
                <w:rFonts w:asciiTheme="majorHAnsi" w:hAnsiTheme="majorHAnsi" w:cstheme="majorHAnsi"/>
                <w:sz w:val="20"/>
                <w:szCs w:val="20"/>
              </w:rPr>
              <w:t>otrās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daļas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regulējumam</w:t>
            </w:r>
            <w:proofErr w:type="spellEnd"/>
            <w:r w:rsidRPr="00940E93">
              <w:rPr>
                <w:rFonts w:asciiTheme="majorHAnsi" w:hAnsiTheme="majorHAnsi" w:cstheme="majorHAnsi"/>
                <w:sz w:val="20"/>
                <w:szCs w:val="20"/>
              </w:rPr>
              <w:t xml:space="preserve">. </w:t>
            </w:r>
          </w:p>
        </w:tc>
        <w:tc>
          <w:tcPr>
            <w:tcW w:w="1080" w:type="pct"/>
          </w:tcPr>
          <w:p w14:paraId="2D9F2467" w14:textId="175ED086"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35.3</w:t>
            </w:r>
            <w:r>
              <w:rPr>
                <w:rFonts w:asciiTheme="majorHAnsi" w:hAnsiTheme="majorHAnsi" w:cstheme="majorHAnsi"/>
                <w:sz w:val="20"/>
                <w:szCs w:val="20"/>
                <w:shd w:val="clear" w:color="auto" w:fill="FFFFFF"/>
                <w:lang w:val="lv-LV"/>
              </w:rPr>
              <w:t xml:space="preserve"> </w:t>
            </w:r>
            <w:r w:rsidRPr="00940E93">
              <w:rPr>
                <w:rFonts w:asciiTheme="majorHAnsi" w:hAnsiTheme="majorHAnsi" w:cstheme="majorHAnsi"/>
                <w:sz w:val="20"/>
                <w:szCs w:val="20"/>
                <w:shd w:val="clear" w:color="auto" w:fill="FFFFFF"/>
                <w:lang w:val="lv-LV"/>
              </w:rPr>
              <w:t>Pēc detālplānojuma apstiprināšanas, apbūvei paredzētajām teritorijām izstrādā inženierkomunikāciju tehniskos projektus. Teritoriju drīkst apbūvēt atbilstoši detālplānojuma dokumentācijas sastāvā iekļautajai īstenošanas kārtībai, kurā noteikta galveno inženierkomunikāciju izbūves secība un atbildība par inženierkomunikāciju izbūvi.</w:t>
            </w:r>
          </w:p>
        </w:tc>
        <w:tc>
          <w:tcPr>
            <w:tcW w:w="786" w:type="pct"/>
          </w:tcPr>
          <w:p w14:paraId="4D44413C" w14:textId="226AD33F"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roofErr w:type="spellStart"/>
            <w:r>
              <w:rPr>
                <w:rFonts w:asciiTheme="majorHAnsi" w:hAnsiTheme="majorHAnsi" w:cstheme="majorHAnsi"/>
                <w:sz w:val="20"/>
                <w:szCs w:val="20"/>
                <w:shd w:val="clear" w:color="auto" w:fill="FFFFFF"/>
              </w:rPr>
              <w:t>Nesaprotama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inteprretācija</w:t>
            </w:r>
            <w:proofErr w:type="spellEnd"/>
            <w:r>
              <w:rPr>
                <w:rFonts w:asciiTheme="majorHAnsi" w:hAnsiTheme="majorHAnsi" w:cstheme="majorHAnsi"/>
                <w:sz w:val="20"/>
                <w:szCs w:val="20"/>
                <w:shd w:val="clear" w:color="auto" w:fill="FFFFFF"/>
              </w:rPr>
              <w:t>. Tas,</w:t>
            </w:r>
            <w:r w:rsidR="00A04DBE">
              <w:rPr>
                <w:rFonts w:asciiTheme="majorHAnsi" w:hAnsiTheme="majorHAnsi" w:cstheme="majorHAnsi"/>
                <w:sz w:val="20"/>
                <w:szCs w:val="20"/>
                <w:shd w:val="clear" w:color="auto" w:fill="FFFFFF"/>
              </w:rPr>
              <w:t xml:space="preserve"> </w:t>
            </w:r>
            <w:r>
              <w:rPr>
                <w:rFonts w:asciiTheme="majorHAnsi" w:hAnsiTheme="majorHAnsi" w:cstheme="majorHAnsi"/>
                <w:sz w:val="20"/>
                <w:szCs w:val="20"/>
                <w:shd w:val="clear" w:color="auto" w:fill="FFFFFF"/>
              </w:rPr>
              <w:t xml:space="preserve">ka </w:t>
            </w:r>
            <w:proofErr w:type="spellStart"/>
            <w:r w:rsidRPr="00940E93">
              <w:rPr>
                <w:rFonts w:asciiTheme="majorHAnsi" w:hAnsiTheme="majorHAnsi" w:cstheme="majorHAnsi"/>
                <w:sz w:val="20"/>
                <w:szCs w:val="20"/>
                <w:shd w:val="clear" w:color="auto" w:fill="FFFFFF"/>
              </w:rPr>
              <w:t>īstenošanas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kārtība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nevar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būt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detālplānojuma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sastāvā</w:t>
            </w:r>
            <w:proofErr w:type="spellEnd"/>
            <w:r w:rsidRPr="00940E93">
              <w:rPr>
                <w:rFonts w:asciiTheme="majorHAnsi" w:hAnsiTheme="majorHAnsi" w:cstheme="majorHAnsi"/>
                <w:sz w:val="20"/>
                <w:szCs w:val="20"/>
                <w:shd w:val="clear" w:color="auto" w:fill="FFFFFF"/>
              </w:rPr>
              <w:t>?</w:t>
            </w:r>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VAi</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w:t>
            </w:r>
            <w:r w:rsidRPr="00940E93">
              <w:rPr>
                <w:rFonts w:asciiTheme="majorHAnsi" w:hAnsiTheme="majorHAnsi" w:cstheme="majorHAnsi"/>
                <w:sz w:val="20"/>
                <w:szCs w:val="20"/>
                <w:shd w:val="clear" w:color="auto" w:fill="FFFFFF"/>
              </w:rPr>
              <w:t>as</w:t>
            </w:r>
            <w:proofErr w:type="spellEnd"/>
            <w:r w:rsidRPr="00940E93">
              <w:rPr>
                <w:rFonts w:asciiTheme="majorHAnsi" w:hAnsiTheme="majorHAnsi" w:cstheme="majorHAnsi"/>
                <w:sz w:val="20"/>
                <w:szCs w:val="20"/>
                <w:shd w:val="clear" w:color="auto" w:fill="FFFFFF"/>
              </w:rPr>
              <w:t xml:space="preserve"> ka nav </w:t>
            </w:r>
            <w:proofErr w:type="spellStart"/>
            <w:r w:rsidRPr="00940E93">
              <w:rPr>
                <w:rFonts w:asciiTheme="majorHAnsi" w:hAnsiTheme="majorHAnsi" w:cstheme="majorHAnsi"/>
                <w:sz w:val="20"/>
                <w:szCs w:val="20"/>
                <w:shd w:val="clear" w:color="auto" w:fill="FFFFFF"/>
              </w:rPr>
              <w:t>nosaukta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precīzi</w:t>
            </w:r>
            <w:proofErr w:type="spellEnd"/>
            <w:r w:rsidRPr="00940E93">
              <w:rPr>
                <w:rFonts w:asciiTheme="majorHAnsi" w:hAnsiTheme="majorHAnsi" w:cstheme="majorHAnsi"/>
                <w:sz w:val="20"/>
                <w:szCs w:val="20"/>
                <w:shd w:val="clear" w:color="auto" w:fill="FFFFFF"/>
              </w:rPr>
              <w:t>?</w:t>
            </w:r>
          </w:p>
        </w:tc>
        <w:tc>
          <w:tcPr>
            <w:tcW w:w="1711" w:type="pct"/>
          </w:tcPr>
          <w:p w14:paraId="12699D87"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Nav precīzi definēts, ka īstenošana ir atbilstoši administratīvam līgumam, bet gan detālplānojuma dokumentācijas sastāvā iekļautajai īstenošanas kārtībai, kas ir kā priekšlikums teritorijas tālākai attīstībai.</w:t>
            </w:r>
          </w:p>
          <w:p w14:paraId="78CCECBA"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Jebkurā gadījumā šis TIAN pants neatceļ administratīvo līgumu un detālplānojums tiek izstrādāts atbilstoši Likumam un MK noteikumiem. Savādāk taču nevar būt….</w:t>
            </w:r>
          </w:p>
          <w:p w14:paraId="4E876F04" w14:textId="68A28D9C"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Turklāt, šāda redakcija NAV pretrunā normatīvajiem aktiem un, pat ja to uzskata par kļūdu, tā ir nebūtiska – par būtiskām kļūdām skatīt Satversmes tiesas spriedumus, kuros atzīts, ka tikai būtiskas kļūdas var būt par pamatu TP apturēšanai, atcelšanai </w:t>
            </w:r>
            <w:proofErr w:type="spellStart"/>
            <w:r w:rsidRPr="00940E93">
              <w:rPr>
                <w:rFonts w:asciiTheme="majorHAnsi" w:hAnsiTheme="majorHAnsi" w:cstheme="majorHAnsi"/>
                <w:sz w:val="20"/>
                <w:szCs w:val="20"/>
                <w:shd w:val="clear" w:color="auto" w:fill="FFFFFF"/>
                <w:lang w:val="lv-LV"/>
              </w:rPr>
              <w:t>utml</w:t>
            </w:r>
            <w:proofErr w:type="spellEnd"/>
            <w:r w:rsidRPr="00940E93">
              <w:rPr>
                <w:rFonts w:asciiTheme="majorHAnsi" w:hAnsiTheme="majorHAnsi" w:cstheme="majorHAnsi"/>
                <w:sz w:val="20"/>
                <w:szCs w:val="20"/>
                <w:shd w:val="clear" w:color="auto" w:fill="FFFFFF"/>
                <w:lang w:val="lv-LV"/>
              </w:rPr>
              <w:t>.</w:t>
            </w:r>
          </w:p>
        </w:tc>
      </w:tr>
      <w:tr w:rsidR="00710479" w:rsidRPr="00EB5C28" w14:paraId="1AFEEC39" w14:textId="77777777" w:rsidTr="00A65614">
        <w:tc>
          <w:tcPr>
            <w:tcW w:w="1423" w:type="pct"/>
          </w:tcPr>
          <w:p w14:paraId="08B17524" w14:textId="41F002BD" w:rsidR="00710479" w:rsidRPr="00940E93" w:rsidRDefault="00710479" w:rsidP="00710479">
            <w:pPr>
              <w:spacing w:after="0" w:line="240" w:lineRule="auto"/>
              <w:jc w:val="both"/>
              <w:rPr>
                <w:rFonts w:asciiTheme="majorHAnsi" w:hAnsiTheme="majorHAnsi" w:cstheme="majorHAnsi"/>
                <w:sz w:val="20"/>
                <w:szCs w:val="20"/>
                <w:bdr w:val="none" w:sz="0" w:space="0" w:color="auto" w:frame="1"/>
                <w:lang w:val="lv-LV"/>
              </w:rPr>
            </w:pPr>
            <w:r w:rsidRPr="00940E93">
              <w:rPr>
                <w:rFonts w:asciiTheme="majorHAnsi" w:eastAsia="Times New Roman" w:hAnsiTheme="majorHAnsi" w:cstheme="majorHAnsi"/>
                <w:sz w:val="20"/>
                <w:szCs w:val="20"/>
                <w:bdr w:val="none" w:sz="0" w:space="0" w:color="auto" w:frame="1"/>
                <w:lang w:val="lv-LV" w:eastAsia="lv-LV"/>
              </w:rPr>
              <w:t xml:space="preserve">9.10. </w:t>
            </w:r>
            <w:r w:rsidRPr="00940E93">
              <w:rPr>
                <w:rFonts w:asciiTheme="majorHAnsi" w:hAnsiTheme="majorHAnsi" w:cstheme="majorHAnsi"/>
                <w:sz w:val="20"/>
                <w:szCs w:val="20"/>
                <w:lang w:val="lv-LV"/>
              </w:rPr>
              <w:t>Saskaņā ar Ūdenssaimniecības pakalpojumu likumu</w:t>
            </w:r>
            <w:r w:rsidRPr="00940E93">
              <w:rPr>
                <w:rStyle w:val="FootnoteReference"/>
                <w:rFonts w:asciiTheme="majorHAnsi" w:hAnsiTheme="majorHAnsi" w:cstheme="majorHAnsi"/>
                <w:sz w:val="20"/>
                <w:szCs w:val="20"/>
                <w:lang w:val="lv-LV"/>
              </w:rPr>
              <w:footnoteReference w:id="10"/>
            </w:r>
            <w:r w:rsidRPr="00940E93">
              <w:rPr>
                <w:rFonts w:asciiTheme="majorHAnsi" w:hAnsiTheme="majorHAnsi" w:cstheme="majorHAnsi"/>
                <w:sz w:val="20"/>
                <w:szCs w:val="20"/>
                <w:lang w:val="lv-LV"/>
              </w:rPr>
              <w:t xml:space="preserve"> teritorijas, kurās ierīkojamas centralizētās ūdensapgādes sistēmas un centralizētās kanalizācijas sistēmas, nosakāmas, izvērtējot to ierīkošanas ekonomisko pamatojumu. Izvirzīt kā obligātu prasību var tikai tajā gadījumā, ja pieguļošā ielā ir centralizētie tīkli. </w:t>
            </w:r>
            <w:r w:rsidRPr="00940E93">
              <w:rPr>
                <w:rFonts w:asciiTheme="majorHAnsi" w:hAnsiTheme="majorHAnsi" w:cstheme="majorHAnsi"/>
                <w:sz w:val="20"/>
                <w:szCs w:val="20"/>
                <w:bdr w:val="none" w:sz="0" w:space="0" w:color="auto" w:frame="1"/>
                <w:lang w:val="lv-LV"/>
              </w:rPr>
              <w:t>Normatīvie akti</w:t>
            </w:r>
            <w:r w:rsidRPr="00940E93">
              <w:rPr>
                <w:rStyle w:val="FootnoteReference"/>
                <w:rFonts w:asciiTheme="majorHAnsi" w:hAnsiTheme="majorHAnsi" w:cstheme="majorHAnsi"/>
                <w:sz w:val="20"/>
                <w:szCs w:val="20"/>
                <w:bdr w:val="none" w:sz="0" w:space="0" w:color="auto" w:frame="1"/>
                <w:lang w:val="lv-LV"/>
              </w:rPr>
              <w:footnoteReference w:id="11"/>
            </w:r>
            <w:r w:rsidRPr="00940E93">
              <w:rPr>
                <w:rFonts w:asciiTheme="majorHAnsi" w:hAnsiTheme="majorHAnsi" w:cstheme="majorHAnsi"/>
                <w:sz w:val="20"/>
                <w:szCs w:val="20"/>
                <w:bdr w:val="none" w:sz="0" w:space="0" w:color="auto" w:frame="1"/>
                <w:lang w:val="lv-LV"/>
              </w:rPr>
              <w:t xml:space="preserve"> noteic, ka visām apdzīvotajām vietām vai to robežās esošām atsevišķām teritorijas daļām, ņemot vērā noteiktos kritērijus, centralizētu kanalizācijas tīklu sistēmu notekūdeņu savākšanai un </w:t>
            </w:r>
            <w:proofErr w:type="spellStart"/>
            <w:r w:rsidRPr="00940E93">
              <w:rPr>
                <w:rFonts w:asciiTheme="majorHAnsi" w:hAnsiTheme="majorHAnsi" w:cstheme="majorHAnsi"/>
                <w:sz w:val="20"/>
                <w:szCs w:val="20"/>
                <w:bdr w:val="none" w:sz="0" w:space="0" w:color="auto" w:frame="1"/>
                <w:lang w:val="lv-LV"/>
              </w:rPr>
              <w:t>tālakai</w:t>
            </w:r>
            <w:proofErr w:type="spellEnd"/>
            <w:r w:rsidRPr="00940E93">
              <w:rPr>
                <w:rFonts w:asciiTheme="majorHAnsi" w:hAnsiTheme="majorHAnsi" w:cstheme="majorHAnsi"/>
                <w:sz w:val="20"/>
                <w:szCs w:val="20"/>
                <w:bdr w:val="none" w:sz="0" w:space="0" w:color="auto" w:frame="1"/>
                <w:lang w:val="lv-LV"/>
              </w:rPr>
              <w:t xml:space="preserve"> novadīšanai nosaka prasības komunālo notekūdeņu centralizētai savākšanai un emisijai (aglomerācijām). Grafiskajā daļā nav noteiktas</w:t>
            </w:r>
            <w:r w:rsidRPr="00940E93">
              <w:rPr>
                <w:rFonts w:asciiTheme="majorHAnsi" w:hAnsiTheme="majorHAnsi" w:cstheme="majorHAnsi"/>
                <w:sz w:val="20"/>
                <w:szCs w:val="20"/>
              </w:rPr>
              <w:t xml:space="preserve"> ap</w:t>
            </w:r>
            <w:r w:rsidRPr="00940E93">
              <w:rPr>
                <w:rFonts w:asciiTheme="majorHAnsi" w:hAnsiTheme="majorHAnsi" w:cstheme="majorHAnsi"/>
                <w:sz w:val="20"/>
                <w:szCs w:val="20"/>
                <w:bdr w:val="none" w:sz="0" w:space="0" w:color="auto" w:frame="1"/>
                <w:lang w:val="lv-LV"/>
              </w:rPr>
              <w:t xml:space="preserve">būves teritorijas, kurās saskaņā ar Domes </w:t>
            </w:r>
            <w:r w:rsidRPr="00940E93">
              <w:rPr>
                <w:rFonts w:asciiTheme="majorHAnsi" w:hAnsiTheme="majorHAnsi" w:cstheme="majorHAnsi"/>
                <w:sz w:val="20"/>
                <w:szCs w:val="20"/>
                <w:bdr w:val="none" w:sz="0" w:space="0" w:color="auto" w:frame="1"/>
                <w:lang w:val="lv-LV"/>
              </w:rPr>
              <w:lastRenderedPageBreak/>
              <w:t>saistošajiem noteikumiem</w:t>
            </w:r>
            <w:r w:rsidRPr="00940E93">
              <w:rPr>
                <w:rStyle w:val="FootnoteReference"/>
                <w:rFonts w:asciiTheme="majorHAnsi" w:hAnsiTheme="majorHAnsi" w:cstheme="majorHAnsi"/>
                <w:sz w:val="20"/>
                <w:szCs w:val="20"/>
                <w:bdr w:val="none" w:sz="0" w:space="0" w:color="auto" w:frame="1"/>
                <w:lang w:val="lv-LV"/>
              </w:rPr>
              <w:footnoteReference w:id="12"/>
            </w:r>
            <w:r w:rsidRPr="00940E93">
              <w:rPr>
                <w:rFonts w:asciiTheme="majorHAnsi" w:hAnsiTheme="majorHAnsi" w:cstheme="majorHAnsi"/>
                <w:sz w:val="20"/>
                <w:szCs w:val="20"/>
                <w:bdr w:val="none" w:sz="0" w:space="0" w:color="auto" w:frame="1"/>
                <w:lang w:val="lv-LV"/>
              </w:rPr>
              <w:t xml:space="preserve"> ierīkojamas centralizētās ūdensapgādes sistēmas un centralizētās kanalizācijas sistēmas.</w:t>
            </w:r>
          </w:p>
        </w:tc>
        <w:tc>
          <w:tcPr>
            <w:tcW w:w="1080" w:type="pct"/>
          </w:tcPr>
          <w:p w14:paraId="1AE7A5B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20327642" w14:textId="7E562E06" w:rsidR="00710479" w:rsidRPr="00EB5C28" w:rsidRDefault="00710479" w:rsidP="00710479">
            <w:pPr>
              <w:spacing w:after="0" w:line="240" w:lineRule="auto"/>
              <w:rPr>
                <w:rFonts w:asciiTheme="majorHAnsi" w:hAnsiTheme="majorHAnsi" w:cstheme="majorHAnsi"/>
                <w:sz w:val="20"/>
                <w:szCs w:val="20"/>
                <w:shd w:val="clear" w:color="auto" w:fill="FFFFFF"/>
                <w:lang w:val="lv-LV"/>
              </w:rPr>
            </w:pPr>
            <w:r w:rsidRPr="00EB5C28">
              <w:rPr>
                <w:rFonts w:asciiTheme="majorHAnsi" w:hAnsiTheme="majorHAnsi" w:cstheme="majorHAnsi"/>
                <w:sz w:val="20"/>
                <w:szCs w:val="20"/>
                <w:shd w:val="clear" w:color="auto" w:fill="FFFFFF"/>
                <w:lang w:val="lv-LV"/>
              </w:rPr>
              <w:t xml:space="preserve">Šis  ir </w:t>
            </w:r>
            <w:r w:rsidR="00A04DBE" w:rsidRPr="00EB5C28">
              <w:rPr>
                <w:rFonts w:asciiTheme="majorHAnsi" w:hAnsiTheme="majorHAnsi" w:cstheme="majorHAnsi"/>
                <w:sz w:val="20"/>
                <w:szCs w:val="20"/>
                <w:shd w:val="clear" w:color="auto" w:fill="FFFFFF"/>
                <w:lang w:val="lv-LV"/>
              </w:rPr>
              <w:t>nesaprotams pamatojums</w:t>
            </w:r>
            <w:r w:rsidRPr="00EB5C28">
              <w:rPr>
                <w:rFonts w:asciiTheme="majorHAnsi" w:hAnsiTheme="majorHAnsi" w:cstheme="majorHAnsi"/>
                <w:sz w:val="20"/>
                <w:szCs w:val="20"/>
                <w:shd w:val="clear" w:color="auto" w:fill="FFFFFF"/>
                <w:lang w:val="lv-LV"/>
              </w:rPr>
              <w:t xml:space="preserve">, saskaņā ar šo apbūves noteikumosun grafiskajā daļā būtu jāzīmē tikai ar TEP pamatotās teritorijas, kas nav loģiski, jo </w:t>
            </w:r>
            <w:r w:rsidRPr="00EB5C28">
              <w:rPr>
                <w:rFonts w:asciiTheme="majorHAnsi" w:hAnsiTheme="majorHAnsi" w:cstheme="majorHAnsi"/>
                <w:b/>
                <w:bCs/>
                <w:sz w:val="20"/>
                <w:szCs w:val="20"/>
                <w:shd w:val="clear" w:color="auto" w:fill="FFFFFF"/>
                <w:lang w:val="lv-LV"/>
              </w:rPr>
              <w:t>TEP</w:t>
            </w:r>
            <w:r w:rsidRPr="00EB5C28">
              <w:rPr>
                <w:rFonts w:asciiTheme="majorHAnsi" w:hAnsiTheme="majorHAnsi" w:cstheme="majorHAnsi"/>
                <w:sz w:val="20"/>
                <w:szCs w:val="20"/>
                <w:shd w:val="clear" w:color="auto" w:fill="FFFFFF"/>
                <w:lang w:val="lv-LV"/>
              </w:rPr>
              <w:t xml:space="preserve"> 20 gadiem uz priekšu jau nav nevienai pašvaldībai sagatavoti, tos </w:t>
            </w:r>
            <w:r w:rsidRPr="00EB5C28">
              <w:rPr>
                <w:rFonts w:asciiTheme="majorHAnsi" w:hAnsiTheme="majorHAnsi" w:cstheme="majorHAnsi"/>
                <w:b/>
                <w:bCs/>
                <w:sz w:val="20"/>
                <w:szCs w:val="20"/>
                <w:shd w:val="clear" w:color="auto" w:fill="FFFFFF"/>
                <w:lang w:val="lv-LV"/>
              </w:rPr>
              <w:t>gatavo tad, kad plāno būvēt</w:t>
            </w:r>
            <w:r w:rsidRPr="00EB5C28">
              <w:rPr>
                <w:rFonts w:asciiTheme="majorHAnsi" w:hAnsiTheme="majorHAnsi" w:cstheme="majorHAnsi"/>
                <w:sz w:val="20"/>
                <w:szCs w:val="20"/>
                <w:shd w:val="clear" w:color="auto" w:fill="FFFFFF"/>
                <w:lang w:val="lv-LV"/>
              </w:rPr>
              <w:t>!!!</w:t>
            </w:r>
          </w:p>
          <w:p w14:paraId="43CC594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1711" w:type="pct"/>
          </w:tcPr>
          <w:p w14:paraId="118AF5A8"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r>
      <w:tr w:rsidR="00710479" w:rsidRPr="00940E93" w14:paraId="20E923BC" w14:textId="77777777" w:rsidTr="00710479">
        <w:tc>
          <w:tcPr>
            <w:tcW w:w="5000" w:type="pct"/>
            <w:gridSpan w:val="4"/>
          </w:tcPr>
          <w:p w14:paraId="086EE238" w14:textId="53E2E852" w:rsidR="00710479" w:rsidRPr="00710479" w:rsidRDefault="00710479" w:rsidP="00710479">
            <w:pPr>
              <w:tabs>
                <w:tab w:val="left" w:pos="426"/>
              </w:tabs>
              <w:spacing w:after="0" w:line="240" w:lineRule="auto"/>
              <w:jc w:val="center"/>
              <w:rPr>
                <w:rFonts w:asciiTheme="majorHAnsi" w:hAnsiTheme="majorHAnsi" w:cstheme="majorHAnsi"/>
                <w:b/>
                <w:bCs/>
                <w:sz w:val="28"/>
                <w:szCs w:val="28"/>
                <w:shd w:val="clear" w:color="auto" w:fill="FFFFFF"/>
                <w:lang w:val="lv-LV"/>
              </w:rPr>
            </w:pPr>
            <w:r w:rsidRPr="00710479">
              <w:rPr>
                <w:rFonts w:asciiTheme="majorHAnsi" w:hAnsiTheme="majorHAnsi" w:cstheme="majorHAnsi"/>
                <w:b/>
                <w:bCs/>
                <w:sz w:val="28"/>
                <w:szCs w:val="28"/>
                <w:shd w:val="clear" w:color="auto" w:fill="FFFFFF"/>
                <w:lang w:val="lv-LV"/>
              </w:rPr>
              <w:t>OBJEKTĪVĀS NEPILNĪBAS</w:t>
            </w:r>
          </w:p>
        </w:tc>
      </w:tr>
      <w:tr w:rsidR="00710479" w:rsidRPr="00940E93" w14:paraId="0271A9D4" w14:textId="77777777" w:rsidTr="004805C1">
        <w:tc>
          <w:tcPr>
            <w:tcW w:w="1423" w:type="pct"/>
          </w:tcPr>
          <w:p w14:paraId="322007C6" w14:textId="3FA73632" w:rsidR="00710479" w:rsidRPr="00940E93" w:rsidRDefault="00710479" w:rsidP="00710479">
            <w:pPr>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9.2.</w:t>
            </w:r>
            <w:r w:rsidRPr="00940E93">
              <w:rPr>
                <w:rFonts w:asciiTheme="majorHAnsi" w:hAnsiTheme="majorHAnsi" w:cstheme="majorHAnsi"/>
                <w:sz w:val="20"/>
                <w:szCs w:val="20"/>
                <w:shd w:val="clear" w:color="auto" w:fill="FFFFFF"/>
                <w:lang w:val="lv-LV"/>
              </w:rPr>
              <w:tab/>
              <w:t>Normatīvajos aktos</w:t>
            </w:r>
            <w:r w:rsidRPr="00940E93">
              <w:rPr>
                <w:rFonts w:asciiTheme="majorHAnsi" w:hAnsiTheme="majorHAnsi" w:cstheme="majorHAnsi"/>
                <w:bCs/>
                <w:sz w:val="20"/>
                <w:szCs w:val="20"/>
                <w:lang w:val="lv-LV"/>
              </w:rPr>
              <w:t xml:space="preserve"> noteiktie termiņi</w:t>
            </w:r>
            <w:r w:rsidRPr="00940E93">
              <w:rPr>
                <w:rStyle w:val="FootnoteReference"/>
                <w:rFonts w:asciiTheme="majorHAnsi" w:hAnsiTheme="majorHAnsi" w:cstheme="majorHAnsi"/>
                <w:bCs/>
                <w:sz w:val="20"/>
                <w:szCs w:val="20"/>
                <w:lang w:val="lv-LV"/>
              </w:rPr>
              <w:footnoteReference w:id="13"/>
            </w:r>
            <w:r w:rsidRPr="00940E93">
              <w:rPr>
                <w:rFonts w:asciiTheme="majorHAnsi" w:hAnsiTheme="majorHAnsi" w:cstheme="majorHAnsi"/>
                <w:bCs/>
                <w:sz w:val="20"/>
                <w:szCs w:val="20"/>
                <w:lang w:val="lv-LV"/>
              </w:rPr>
              <w:t xml:space="preserve"> attiecībā uz lēmumu un dokumentu publiskošanu sistēmā pašvaldības tīmekļvietnē un oficiālajā izdevumā “Latvijas Vēstnesis” ir ievēroti, izņemot Domes 2014.gada 30.jūlija </w:t>
            </w:r>
            <w:r w:rsidRPr="00940E93">
              <w:rPr>
                <w:rFonts w:asciiTheme="majorHAnsi" w:hAnsiTheme="majorHAnsi" w:cstheme="majorHAnsi"/>
                <w:b/>
                <w:sz w:val="20"/>
                <w:szCs w:val="20"/>
                <w:lang w:val="lv-LV"/>
              </w:rPr>
              <w:t>lēmums</w:t>
            </w:r>
            <w:r w:rsidRPr="00940E93">
              <w:rPr>
                <w:rFonts w:asciiTheme="majorHAnsi" w:hAnsiTheme="majorHAnsi" w:cstheme="majorHAnsi"/>
                <w:bCs/>
                <w:sz w:val="20"/>
                <w:szCs w:val="20"/>
                <w:lang w:val="lv-LV"/>
              </w:rPr>
              <w:t xml:space="preserve"> Nr.263 “Par Salacgrīvas novada Teritorijas plānojuma 2016.-2027.gadam izstrādes uzsākšanu” </w:t>
            </w:r>
            <w:r w:rsidRPr="00940E93">
              <w:rPr>
                <w:rFonts w:asciiTheme="majorHAnsi" w:hAnsiTheme="majorHAnsi" w:cstheme="majorHAnsi"/>
                <w:b/>
                <w:sz w:val="20"/>
                <w:szCs w:val="20"/>
                <w:lang w:val="lv-LV"/>
              </w:rPr>
              <w:t>sistēmā ievietots septiņus mēnešus vēlāk</w:t>
            </w:r>
            <w:r w:rsidRPr="00940E93">
              <w:rPr>
                <w:rFonts w:asciiTheme="majorHAnsi" w:hAnsiTheme="majorHAnsi" w:cstheme="majorHAnsi"/>
                <w:bCs/>
                <w:sz w:val="20"/>
                <w:szCs w:val="20"/>
                <w:lang w:val="lv-LV"/>
              </w:rPr>
              <w:t xml:space="preserve">, proti, </w:t>
            </w:r>
            <w:r w:rsidRPr="00940E93">
              <w:rPr>
                <w:rFonts w:asciiTheme="majorHAnsi" w:hAnsiTheme="majorHAnsi" w:cstheme="majorHAnsi"/>
                <w:bCs/>
                <w:sz w:val="20"/>
                <w:szCs w:val="20"/>
              </w:rPr>
              <w:t>2015.gada 17.decembrī</w:t>
            </w:r>
            <w:r w:rsidRPr="00940E93">
              <w:rPr>
                <w:rFonts w:asciiTheme="majorHAnsi" w:hAnsiTheme="majorHAnsi" w:cstheme="majorHAnsi"/>
                <w:bCs/>
                <w:sz w:val="20"/>
                <w:szCs w:val="20"/>
                <w:lang w:val="lv-LV"/>
              </w:rPr>
              <w:t>;</w:t>
            </w:r>
            <w:r w:rsidRPr="00940E93">
              <w:rPr>
                <w:rFonts w:asciiTheme="majorHAnsi" w:hAnsiTheme="majorHAnsi" w:cstheme="majorHAnsi"/>
                <w:sz w:val="20"/>
                <w:szCs w:val="20"/>
                <w:shd w:val="clear" w:color="auto" w:fill="FFFFFF"/>
                <w:lang w:val="lv-LV"/>
              </w:rPr>
              <w:t xml:space="preserve"> </w:t>
            </w:r>
          </w:p>
        </w:tc>
        <w:tc>
          <w:tcPr>
            <w:tcW w:w="3577" w:type="pct"/>
            <w:gridSpan w:val="3"/>
          </w:tcPr>
          <w:p w14:paraId="11D70F46" w14:textId="2A471CF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Pr>
                <w:rFonts w:asciiTheme="majorHAnsi" w:hAnsiTheme="majorHAnsi" w:cstheme="majorHAnsi"/>
                <w:sz w:val="20"/>
                <w:szCs w:val="20"/>
                <w:shd w:val="clear" w:color="auto" w:fill="FFFFFF"/>
                <w:lang w:val="lv-LV"/>
              </w:rPr>
              <w:t>2015.gadā n</w:t>
            </w:r>
            <w:r w:rsidRPr="00940E93">
              <w:rPr>
                <w:rFonts w:asciiTheme="majorHAnsi" w:hAnsiTheme="majorHAnsi" w:cstheme="majorHAnsi"/>
                <w:sz w:val="20"/>
                <w:szCs w:val="20"/>
                <w:shd w:val="clear" w:color="auto" w:fill="FFFFFF"/>
                <w:lang w:val="lv-LV"/>
              </w:rPr>
              <w:t>ovēloti ievietots lēmums TAPIS sistēmā.</w:t>
            </w:r>
          </w:p>
        </w:tc>
      </w:tr>
      <w:tr w:rsidR="00710479" w:rsidRPr="00EB5C28" w14:paraId="40262A06" w14:textId="77777777" w:rsidTr="004805C1">
        <w:tc>
          <w:tcPr>
            <w:tcW w:w="1423" w:type="pct"/>
          </w:tcPr>
          <w:p w14:paraId="7995C85F" w14:textId="09999458" w:rsidR="00710479" w:rsidRPr="00940E93" w:rsidRDefault="00710479" w:rsidP="00710479">
            <w:pPr>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lang w:val="lv-LV"/>
              </w:rPr>
              <w:t>9.4.</w:t>
            </w:r>
            <w:r w:rsidRPr="00940E93">
              <w:rPr>
                <w:rFonts w:asciiTheme="majorHAnsi" w:hAnsiTheme="majorHAnsi" w:cstheme="majorHAnsi"/>
                <w:bCs/>
                <w:sz w:val="20"/>
                <w:szCs w:val="20"/>
                <w:lang w:val="lv-LV"/>
              </w:rPr>
              <w:tab/>
              <w:t xml:space="preserve">Nav izpildīta </w:t>
            </w:r>
            <w:r w:rsidRPr="00940E93">
              <w:rPr>
                <w:rFonts w:asciiTheme="majorHAnsi" w:hAnsiTheme="majorHAnsi" w:cstheme="majorHAnsi"/>
                <w:sz w:val="20"/>
                <w:szCs w:val="20"/>
                <w:lang w:val="lv-LV"/>
              </w:rPr>
              <w:t>Aizsargjoslu likuma 67.pantā noteiktā prasība un Salacgrīvas novada TP projekta stadijā nav lūgts ministrijai apstiprināt izmainītās Lāņu un Lembužu ciemu, kas atrodas Baltijas jūras un Rīgas jūras līča piekrastes aizsargjoslā</w:t>
            </w:r>
            <w:r w:rsidRPr="00940E93">
              <w:rPr>
                <w:rFonts w:asciiTheme="majorHAnsi" w:hAnsiTheme="majorHAnsi" w:cstheme="majorHAnsi"/>
                <w:bCs/>
                <w:sz w:val="20"/>
                <w:szCs w:val="20"/>
                <w:lang w:val="lv-LV"/>
              </w:rPr>
              <w:t>,</w:t>
            </w:r>
            <w:r w:rsidRPr="00940E93">
              <w:rPr>
                <w:rFonts w:asciiTheme="majorHAnsi" w:hAnsiTheme="majorHAnsi" w:cstheme="majorHAnsi"/>
                <w:sz w:val="20"/>
                <w:szCs w:val="20"/>
                <w:lang w:val="lv-LV"/>
              </w:rPr>
              <w:t xml:space="preserve"> robežas.</w:t>
            </w:r>
          </w:p>
        </w:tc>
        <w:tc>
          <w:tcPr>
            <w:tcW w:w="3577" w:type="pct"/>
            <w:gridSpan w:val="3"/>
          </w:tcPr>
          <w:p w14:paraId="0234D6EE" w14:textId="1A3CF15E"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EB5C28">
              <w:rPr>
                <w:rFonts w:asciiTheme="majorHAnsi" w:hAnsiTheme="majorHAnsi" w:cstheme="majorHAnsi"/>
                <w:bCs/>
                <w:sz w:val="20"/>
                <w:szCs w:val="20"/>
                <w:shd w:val="clear" w:color="auto" w:fill="FFFFFF"/>
                <w:lang w:val="lv-LV"/>
              </w:rPr>
              <w:t xml:space="preserve">Ciemu robežu saskaņošana ar VARAM krasta kāpu aizsargjoslā nav veikta. Šādas kļūdas gadījumā samērīgi būtu bijis  </w:t>
            </w:r>
            <w:r w:rsidRPr="00EB5C28">
              <w:rPr>
                <w:rFonts w:asciiTheme="majorHAnsi" w:hAnsiTheme="majorHAnsi" w:cstheme="majorHAnsi"/>
                <w:b/>
                <w:sz w:val="20"/>
                <w:szCs w:val="20"/>
                <w:shd w:val="clear" w:color="auto" w:fill="FFFFFF"/>
                <w:lang w:val="lv-LV"/>
              </w:rPr>
              <w:t>atcelt jaunās ciemu robežas un paturēt spēkā pārējo teritorijas plānojuma saturu.</w:t>
            </w:r>
          </w:p>
        </w:tc>
      </w:tr>
    </w:tbl>
    <w:p w14:paraId="1D5BB26C" w14:textId="10FFEE1F" w:rsidR="00361146" w:rsidRPr="00110757" w:rsidRDefault="00361146" w:rsidP="005D0592">
      <w:pPr>
        <w:autoSpaceDE w:val="0"/>
        <w:autoSpaceDN w:val="0"/>
        <w:adjustRightInd w:val="0"/>
        <w:spacing w:after="0" w:line="240" w:lineRule="auto"/>
        <w:rPr>
          <w:rFonts w:asciiTheme="majorHAnsi" w:hAnsiTheme="majorHAnsi" w:cstheme="majorHAnsi"/>
          <w:sz w:val="24"/>
          <w:szCs w:val="24"/>
          <w:lang w:val="lv-LV"/>
        </w:rPr>
      </w:pPr>
    </w:p>
    <w:sectPr w:rsidR="00361146" w:rsidRPr="00110757" w:rsidSect="005D0592">
      <w:headerReference w:type="default" r:id="rId12"/>
      <w:type w:val="continuous"/>
      <w:pgSz w:w="16840" w:h="11920" w:orient="landscape"/>
      <w:pgMar w:top="1135" w:right="851" w:bottom="851" w:left="993"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4BDD7" w14:textId="77777777" w:rsidR="00E42CDD" w:rsidRDefault="00E42CDD">
      <w:pPr>
        <w:spacing w:after="0" w:line="240" w:lineRule="auto"/>
      </w:pPr>
      <w:r>
        <w:separator/>
      </w:r>
    </w:p>
  </w:endnote>
  <w:endnote w:type="continuationSeparator" w:id="0">
    <w:p w14:paraId="7E58941D" w14:textId="77777777" w:rsidR="00E42CDD" w:rsidRDefault="00E42CDD">
      <w:pPr>
        <w:spacing w:after="0" w:line="240" w:lineRule="auto"/>
      </w:pPr>
      <w:r>
        <w:continuationSeparator/>
      </w:r>
    </w:p>
  </w:endnote>
  <w:endnote w:type="continuationNotice" w:id="1">
    <w:p w14:paraId="070BBF35" w14:textId="77777777" w:rsidR="00E42CDD" w:rsidRDefault="00E42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BD159" w14:textId="77777777" w:rsidR="00E42CDD" w:rsidRDefault="00E42CDD">
      <w:pPr>
        <w:spacing w:after="0" w:line="240" w:lineRule="auto"/>
      </w:pPr>
      <w:r>
        <w:separator/>
      </w:r>
    </w:p>
  </w:footnote>
  <w:footnote w:type="continuationSeparator" w:id="0">
    <w:p w14:paraId="09C00A83" w14:textId="77777777" w:rsidR="00E42CDD" w:rsidRDefault="00E42CDD">
      <w:pPr>
        <w:spacing w:after="0" w:line="240" w:lineRule="auto"/>
      </w:pPr>
      <w:r>
        <w:continuationSeparator/>
      </w:r>
    </w:p>
  </w:footnote>
  <w:footnote w:type="continuationNotice" w:id="1">
    <w:p w14:paraId="28DAEA3C" w14:textId="77777777" w:rsidR="00E42CDD" w:rsidRDefault="00E42CDD">
      <w:pPr>
        <w:spacing w:after="0" w:line="240" w:lineRule="auto"/>
      </w:pPr>
    </w:p>
  </w:footnote>
  <w:footnote w:id="2">
    <w:p w14:paraId="452FB631" w14:textId="77777777" w:rsidR="005B5DEA" w:rsidRPr="00ED54B4" w:rsidRDefault="005B5DEA" w:rsidP="002448EB">
      <w:pPr>
        <w:pStyle w:val="FootnoteText"/>
        <w:spacing w:after="0" w:line="240" w:lineRule="auto"/>
        <w:jc w:val="both"/>
        <w:rPr>
          <w:rFonts w:ascii="Times New Roman" w:hAnsi="Times New Roman"/>
          <w:lang w:val="lv-LV"/>
        </w:rPr>
      </w:pPr>
      <w:r w:rsidRPr="00ED54B4">
        <w:rPr>
          <w:rStyle w:val="FootnoteReference"/>
          <w:rFonts w:ascii="Times New Roman" w:hAnsi="Times New Roman"/>
        </w:rPr>
        <w:footnoteRef/>
      </w:r>
      <w:r w:rsidRPr="00ED54B4">
        <w:rPr>
          <w:rFonts w:ascii="Times New Roman" w:hAnsi="Times New Roman"/>
        </w:rPr>
        <w:t xml:space="preserve"> </w:t>
      </w:r>
      <w:r w:rsidRPr="002C72AB">
        <w:rPr>
          <w:rFonts w:ascii="Times New Roman" w:hAnsi="Times New Roman"/>
        </w:rPr>
        <w:t xml:space="preserve">Salacgrīvas novada TP 4.redakcijas </w:t>
      </w:r>
      <w:proofErr w:type="spellStart"/>
      <w:r w:rsidRPr="000B22AC">
        <w:rPr>
          <w:rFonts w:ascii="Times New Roman" w:hAnsi="Times New Roman"/>
        </w:rPr>
        <w:t>dokumentācija</w:t>
      </w:r>
      <w:proofErr w:type="spellEnd"/>
      <w:r w:rsidRPr="0043368F">
        <w:rPr>
          <w:rFonts w:ascii="Times New Roman" w:hAnsi="Times New Roman"/>
        </w:rPr>
        <w:t xml:space="preserve"> </w:t>
      </w:r>
      <w:hyperlink r:id="rId1" w:anchor="document_16378" w:history="1">
        <w:r w:rsidRPr="00ED54B4">
          <w:rPr>
            <w:rFonts w:ascii="Times New Roman" w:hAnsi="Times New Roman"/>
            <w:color w:val="0000FF"/>
            <w:u w:val="single"/>
          </w:rPr>
          <w:t>https://geolatvija.lv/geo/tapis#document_16378</w:t>
        </w:r>
      </w:hyperlink>
      <w:r w:rsidRPr="00ED54B4">
        <w:rPr>
          <w:rFonts w:ascii="Times New Roman" w:hAnsi="Times New Roman"/>
        </w:rPr>
        <w:t xml:space="preserve"> 10.02.2020</w:t>
      </w:r>
      <w:r w:rsidRPr="002C72AB">
        <w:rPr>
          <w:rFonts w:ascii="Times New Roman" w:hAnsi="Times New Roman"/>
        </w:rPr>
        <w:t xml:space="preserve">. </w:t>
      </w:r>
      <w:proofErr w:type="spellStart"/>
      <w:r w:rsidRPr="00ED54B4">
        <w:rPr>
          <w:rFonts w:ascii="Times New Roman" w:hAnsi="Times New Roman"/>
        </w:rPr>
        <w:t>Izstrādes</w:t>
      </w:r>
      <w:proofErr w:type="spellEnd"/>
      <w:r w:rsidRPr="00ED54B4">
        <w:rPr>
          <w:rFonts w:ascii="Times New Roman" w:hAnsi="Times New Roman"/>
        </w:rPr>
        <w:t xml:space="preserve"> </w:t>
      </w:r>
      <w:proofErr w:type="spellStart"/>
      <w:r w:rsidRPr="00ED54B4">
        <w:rPr>
          <w:rFonts w:ascii="Times New Roman" w:hAnsi="Times New Roman"/>
        </w:rPr>
        <w:t>vadītāja</w:t>
      </w:r>
      <w:proofErr w:type="spellEnd"/>
      <w:r w:rsidRPr="00ED54B4">
        <w:rPr>
          <w:rFonts w:ascii="Times New Roman" w:hAnsi="Times New Roman"/>
        </w:rPr>
        <w:t xml:space="preserve"> </w:t>
      </w:r>
      <w:proofErr w:type="spellStart"/>
      <w:r w:rsidRPr="00ED54B4">
        <w:rPr>
          <w:rFonts w:ascii="Times New Roman" w:hAnsi="Times New Roman"/>
        </w:rPr>
        <w:t>pamatojums</w:t>
      </w:r>
      <w:proofErr w:type="spellEnd"/>
      <w:r w:rsidRPr="00ED54B4">
        <w:rPr>
          <w:rFonts w:ascii="Times New Roman" w:hAnsi="Times New Roman"/>
        </w:rPr>
        <w:t xml:space="preserve"> </w:t>
      </w:r>
      <w:proofErr w:type="spellStart"/>
      <w:r w:rsidRPr="00ED54B4">
        <w:rPr>
          <w:rFonts w:ascii="Times New Roman" w:hAnsi="Times New Roman"/>
        </w:rPr>
        <w:t>redakcionālu</w:t>
      </w:r>
      <w:proofErr w:type="spellEnd"/>
      <w:r w:rsidRPr="00ED54B4">
        <w:rPr>
          <w:rFonts w:ascii="Times New Roman" w:hAnsi="Times New Roman"/>
        </w:rPr>
        <w:t xml:space="preserve"> </w:t>
      </w:r>
      <w:proofErr w:type="spellStart"/>
      <w:r w:rsidRPr="00ED54B4">
        <w:rPr>
          <w:rFonts w:ascii="Times New Roman" w:hAnsi="Times New Roman"/>
        </w:rPr>
        <w:t>kļūdu</w:t>
      </w:r>
      <w:proofErr w:type="spellEnd"/>
      <w:r w:rsidRPr="00ED54B4">
        <w:rPr>
          <w:rFonts w:ascii="Times New Roman" w:hAnsi="Times New Roman"/>
        </w:rPr>
        <w:t xml:space="preserve"> </w:t>
      </w:r>
      <w:proofErr w:type="spellStart"/>
      <w:r w:rsidRPr="00ED54B4">
        <w:rPr>
          <w:rFonts w:ascii="Times New Roman" w:hAnsi="Times New Roman"/>
        </w:rPr>
        <w:t>labošanai</w:t>
      </w:r>
      <w:proofErr w:type="spellEnd"/>
      <w:r w:rsidRPr="00ED54B4">
        <w:rPr>
          <w:rFonts w:ascii="Times New Roman" w:hAnsi="Times New Roman"/>
        </w:rPr>
        <w:t>.</w:t>
      </w:r>
      <w:r w:rsidRPr="00ED54B4">
        <w:rPr>
          <w:rFonts w:ascii="Times New Roman" w:hAnsi="Times New Roman"/>
          <w:lang w:val="lv-LV"/>
        </w:rPr>
        <w:t xml:space="preserve"> </w:t>
      </w:r>
    </w:p>
  </w:footnote>
  <w:footnote w:id="3">
    <w:p w14:paraId="2E618AC0" w14:textId="77777777" w:rsidR="00710479" w:rsidRPr="00ED54B4" w:rsidRDefault="00710479" w:rsidP="00EA1AA6">
      <w:pPr>
        <w:pStyle w:val="FootnoteText"/>
        <w:spacing w:after="0" w:line="240" w:lineRule="auto"/>
        <w:jc w:val="both"/>
        <w:rPr>
          <w:rFonts w:ascii="Times New Roman" w:hAnsi="Times New Roman"/>
          <w:lang w:val="lv-LV"/>
        </w:rPr>
      </w:pPr>
      <w:r w:rsidRPr="00ED54B4">
        <w:rPr>
          <w:rStyle w:val="FootnoteReference"/>
          <w:rFonts w:ascii="Times New Roman" w:hAnsi="Times New Roman"/>
        </w:rPr>
        <w:footnoteRef/>
      </w:r>
      <w:r w:rsidRPr="00EB5C28">
        <w:rPr>
          <w:rFonts w:ascii="Times New Roman" w:hAnsi="Times New Roman"/>
          <w:lang w:val="lv-LV"/>
        </w:rPr>
        <w:t xml:space="preserve"> </w:t>
      </w:r>
      <w:r w:rsidRPr="00EB5C28">
        <w:rPr>
          <w:rFonts w:ascii="Times New Roman" w:hAnsi="Times New Roman"/>
          <w:lang w:val="lv-LV"/>
        </w:rPr>
        <w:t xml:space="preserve">Piemēram, apbūves noteikumu 25.punktā ietverta prasība, kas noteic, ka </w:t>
      </w:r>
      <w:proofErr w:type="spellStart"/>
      <w:r w:rsidRPr="00EB5C28">
        <w:rPr>
          <w:rFonts w:ascii="Times New Roman" w:hAnsi="Times New Roman"/>
          <w:lang w:val="lv-LV"/>
        </w:rPr>
        <w:t>jaunveidojamās</w:t>
      </w:r>
      <w:proofErr w:type="spellEnd"/>
      <w:r w:rsidRPr="00EB5C28">
        <w:rPr>
          <w:rFonts w:ascii="Times New Roman" w:hAnsi="Times New Roman"/>
          <w:lang w:val="lv-LV"/>
        </w:rPr>
        <w:t xml:space="preserve"> zemes vienības minimālajā platībā netiek ieskaitīta zemes vienības daļa, kas atrodas ielu sarkano līniju vai ceļu nodalījuma joslas robežās, kā arī ceļu, ielu laukumu platības, kas saistītas ar koplietošanu; apbūves noteikumu 40.3., 40.4.apakšpunkts.</w:t>
      </w:r>
    </w:p>
  </w:footnote>
  <w:footnote w:id="4">
    <w:p w14:paraId="6F14A976" w14:textId="77777777" w:rsidR="00710479" w:rsidRPr="004D09C6" w:rsidRDefault="00710479" w:rsidP="00EA1AA6">
      <w:pPr>
        <w:widowControl/>
        <w:spacing w:after="0" w:line="240" w:lineRule="auto"/>
        <w:jc w:val="both"/>
        <w:rPr>
          <w:rFonts w:ascii="Times New Roman" w:hAnsi="Times New Roman"/>
          <w:sz w:val="20"/>
          <w:szCs w:val="20"/>
          <w:lang w:val="lv-LV"/>
        </w:rPr>
      </w:pPr>
      <w:r w:rsidRPr="004D09C6">
        <w:rPr>
          <w:rStyle w:val="FootnoteReference"/>
          <w:rFonts w:ascii="Times New Roman" w:hAnsi="Times New Roman"/>
          <w:sz w:val="20"/>
          <w:szCs w:val="20"/>
        </w:rPr>
        <w:footnoteRef/>
      </w:r>
      <w:r w:rsidRPr="00EB5C28">
        <w:rPr>
          <w:rFonts w:ascii="Times New Roman" w:hAnsi="Times New Roman"/>
          <w:sz w:val="20"/>
          <w:szCs w:val="20"/>
          <w:lang w:val="lv-LV"/>
        </w:rPr>
        <w:t xml:space="preserve"> </w:t>
      </w:r>
      <w:r w:rsidRPr="00EB5C28">
        <w:rPr>
          <w:rFonts w:ascii="Times New Roman" w:hAnsi="Times New Roman"/>
          <w:b/>
          <w:bCs/>
          <w:sz w:val="20"/>
          <w:szCs w:val="20"/>
          <w:lang w:val="lv-LV"/>
        </w:rPr>
        <w:t>Prasības teritorijas labiekārtošanai un uzturēšanai</w:t>
      </w:r>
      <w:r w:rsidRPr="00EB5C28">
        <w:rPr>
          <w:rFonts w:ascii="Times New Roman" w:hAnsi="Times New Roman"/>
          <w:sz w:val="20"/>
          <w:szCs w:val="20"/>
          <w:lang w:val="lv-LV"/>
        </w:rPr>
        <w:t xml:space="preserve"> Salacgrīvas novada teritorijā noteic Domes 2016.gada 19.oktobra saistošie noteikumi Nr.11 “Saistošie noteikumi par Salacgrīvas novada teritorijas kopšanu un būvju uzturēšanu”.</w:t>
      </w:r>
    </w:p>
  </w:footnote>
  <w:footnote w:id="5">
    <w:p w14:paraId="06B5F92D" w14:textId="77777777" w:rsidR="00710479" w:rsidRPr="00ED54B4" w:rsidRDefault="00710479" w:rsidP="00EA1AA6">
      <w:pPr>
        <w:pStyle w:val="FootnoteText"/>
        <w:spacing w:after="0" w:line="240" w:lineRule="auto"/>
        <w:jc w:val="both"/>
        <w:rPr>
          <w:rFonts w:ascii="Times New Roman" w:hAnsi="Times New Roman"/>
          <w:lang w:val="lv-LV"/>
        </w:rPr>
      </w:pPr>
      <w:r w:rsidRPr="004D09C6">
        <w:rPr>
          <w:rStyle w:val="FootnoteReference"/>
          <w:rFonts w:ascii="Times New Roman" w:hAnsi="Times New Roman"/>
        </w:rPr>
        <w:footnoteRef/>
      </w:r>
      <w:r w:rsidRPr="00EB5C28">
        <w:rPr>
          <w:rFonts w:ascii="Times New Roman" w:hAnsi="Times New Roman"/>
          <w:lang w:val="lv-LV"/>
        </w:rPr>
        <w:t xml:space="preserve"> </w:t>
      </w:r>
      <w:r w:rsidRPr="00EB5C28">
        <w:rPr>
          <w:rFonts w:ascii="Times New Roman" w:hAnsi="Times New Roman"/>
          <w:b/>
          <w:bCs/>
          <w:lang w:val="lv-LV"/>
        </w:rPr>
        <w:t>Ēku numurzīmju izvietošanas kārtību</w:t>
      </w:r>
      <w:r w:rsidRPr="00EB5C28">
        <w:rPr>
          <w:rFonts w:ascii="Times New Roman" w:hAnsi="Times New Roman"/>
          <w:lang w:val="lv-LV"/>
        </w:rPr>
        <w:t>, kā arī apbūves noteikumu 50.1.-50.3.apakšpunktaā ietvertās normas regulē Domes 2016.gada 19.oktobra saistošie noteikumi Nr.11 “Saistošie noteikumi par Salacgrīvas novada teritorijas kopšanu un būvju uzturēšanu”.</w:t>
      </w:r>
    </w:p>
  </w:footnote>
  <w:footnote w:id="6">
    <w:p w14:paraId="1F3D4655" w14:textId="77777777" w:rsidR="00710479" w:rsidRPr="0043368F" w:rsidRDefault="00710479" w:rsidP="00EA1AA6">
      <w:pPr>
        <w:pStyle w:val="FootnoteText"/>
        <w:spacing w:after="0" w:line="240" w:lineRule="auto"/>
        <w:jc w:val="both"/>
        <w:rPr>
          <w:rFonts w:ascii="Times New Roman" w:hAnsi="Times New Roman"/>
          <w:lang w:val="lv-LV"/>
        </w:rPr>
      </w:pPr>
      <w:r w:rsidRPr="002C72AB">
        <w:rPr>
          <w:rStyle w:val="FootnoteReference"/>
          <w:rFonts w:ascii="Times New Roman" w:hAnsi="Times New Roman"/>
          <w:lang w:val="lv-LV"/>
        </w:rPr>
        <w:footnoteRef/>
      </w:r>
      <w:r w:rsidRPr="002C72AB">
        <w:rPr>
          <w:rFonts w:ascii="Times New Roman" w:hAnsi="Times New Roman"/>
          <w:lang w:val="lv-LV"/>
        </w:rPr>
        <w:t> Ministru kabineta 2013.gada 30.aprīļa noteikum Nr.240 “Vispārīgie teritorijas plānošanas, izmantošanas un apbūves noteikumi”</w:t>
      </w:r>
      <w:r>
        <w:rPr>
          <w:rFonts w:ascii="Times New Roman" w:hAnsi="Times New Roman"/>
          <w:lang w:val="lv-LV"/>
        </w:rPr>
        <w:t>.</w:t>
      </w:r>
    </w:p>
  </w:footnote>
  <w:footnote w:id="7">
    <w:p w14:paraId="0CBFF73C" w14:textId="77777777" w:rsidR="00710479" w:rsidRPr="002C72AB" w:rsidRDefault="00710479" w:rsidP="00EA1AA6">
      <w:pPr>
        <w:pStyle w:val="FootnoteText"/>
        <w:spacing w:after="0" w:line="240" w:lineRule="auto"/>
        <w:jc w:val="both"/>
        <w:rPr>
          <w:rFonts w:ascii="Times New Roman" w:hAnsi="Times New Roman"/>
          <w:lang w:val="lv-LV"/>
        </w:rPr>
      </w:pPr>
      <w:r w:rsidRPr="002C72AB">
        <w:rPr>
          <w:rStyle w:val="FootnoteReference"/>
          <w:rFonts w:ascii="Times New Roman" w:hAnsi="Times New Roman"/>
          <w:lang w:val="lv-LV"/>
        </w:rPr>
        <w:footnoteRef/>
      </w:r>
      <w:r w:rsidRPr="002C72AB">
        <w:rPr>
          <w:rFonts w:ascii="Times New Roman" w:hAnsi="Times New Roman"/>
          <w:lang w:val="lv-LV"/>
        </w:rPr>
        <w:t xml:space="preserve"> Latvijas Republikas Civillikuma 1091.pants.</w:t>
      </w:r>
    </w:p>
  </w:footnote>
  <w:footnote w:id="8">
    <w:p w14:paraId="3B7C6FCB" w14:textId="77777777" w:rsidR="00710479" w:rsidRPr="002C72AB" w:rsidRDefault="00710479" w:rsidP="00EA1AA6">
      <w:pPr>
        <w:pStyle w:val="FootnoteText"/>
        <w:spacing w:after="0" w:line="240" w:lineRule="auto"/>
        <w:jc w:val="both"/>
        <w:rPr>
          <w:rFonts w:ascii="Times New Roman" w:hAnsi="Times New Roman"/>
          <w:lang w:val="lv-LV"/>
        </w:rPr>
      </w:pPr>
      <w:r w:rsidRPr="002C72AB">
        <w:rPr>
          <w:rStyle w:val="FootnoteReference"/>
          <w:rFonts w:ascii="Times New Roman" w:hAnsi="Times New Roman"/>
          <w:lang w:val="lv-LV"/>
        </w:rPr>
        <w:footnoteRef/>
      </w:r>
      <w:r w:rsidRPr="002C72AB">
        <w:rPr>
          <w:rFonts w:ascii="Times New Roman" w:hAnsi="Times New Roman"/>
          <w:lang w:val="lv-LV"/>
        </w:rPr>
        <w:t xml:space="preserve"> Aizsargjoslu likuma 7., 18., 37.un 47.pants.</w:t>
      </w:r>
    </w:p>
  </w:footnote>
  <w:footnote w:id="9">
    <w:p w14:paraId="06C52494" w14:textId="77777777" w:rsidR="00710479" w:rsidRPr="002C72AB" w:rsidRDefault="00710479" w:rsidP="00EA1AA6">
      <w:pPr>
        <w:pStyle w:val="FootnoteText"/>
        <w:spacing w:after="0" w:line="240" w:lineRule="auto"/>
        <w:jc w:val="both"/>
        <w:rPr>
          <w:rFonts w:ascii="Times New Roman" w:hAnsi="Times New Roman"/>
          <w:lang w:val="lv-LV"/>
        </w:rPr>
      </w:pPr>
      <w:r w:rsidRPr="002C72AB">
        <w:rPr>
          <w:rStyle w:val="FootnoteReference"/>
          <w:rFonts w:ascii="Times New Roman" w:hAnsi="Times New Roman"/>
          <w:lang w:val="lv-LV"/>
        </w:rPr>
        <w:footnoteRef/>
      </w:r>
      <w:r w:rsidRPr="002C72AB">
        <w:rPr>
          <w:rFonts w:ascii="Times New Roman" w:hAnsi="Times New Roman"/>
          <w:lang w:val="lv-LV"/>
        </w:rPr>
        <w:t xml:space="preserve"> Ministru kabineta 2019.gada 1.oktobra noteikumi Nr.461 “Grozījums Ministru kabineta 2013. gada 30. aprīļa noteikumos Nr. 240 "Vispārīgie teritorijas plānošanas, izmantošanas un apbūves noteikumi"”.</w:t>
      </w:r>
    </w:p>
  </w:footnote>
  <w:footnote w:id="10">
    <w:p w14:paraId="127AE5C1" w14:textId="77777777" w:rsidR="00710479" w:rsidRPr="00ED54B4" w:rsidRDefault="00710479" w:rsidP="00EA1AA6">
      <w:pPr>
        <w:pStyle w:val="FootnoteText"/>
        <w:spacing w:after="0" w:line="240" w:lineRule="auto"/>
        <w:contextualSpacing/>
        <w:rPr>
          <w:rFonts w:ascii="Times New Roman" w:hAnsi="Times New Roman"/>
          <w:lang w:val="lv-LV"/>
        </w:rPr>
      </w:pPr>
      <w:r w:rsidRPr="00ED54B4">
        <w:rPr>
          <w:rStyle w:val="FootnoteReference"/>
          <w:rFonts w:ascii="Times New Roman" w:hAnsi="Times New Roman"/>
        </w:rPr>
        <w:footnoteRef/>
      </w:r>
      <w:r w:rsidRPr="00ED54B4">
        <w:rPr>
          <w:rFonts w:ascii="Times New Roman" w:hAnsi="Times New Roman"/>
        </w:rPr>
        <w:t xml:space="preserve"> </w:t>
      </w:r>
      <w:proofErr w:type="spellStart"/>
      <w:r w:rsidRPr="00ED54B4">
        <w:rPr>
          <w:rFonts w:ascii="Times New Roman" w:hAnsi="Times New Roman"/>
        </w:rPr>
        <w:t>Ūdenssaimniecības</w:t>
      </w:r>
      <w:proofErr w:type="spellEnd"/>
      <w:r w:rsidRPr="00ED54B4">
        <w:rPr>
          <w:rFonts w:ascii="Times New Roman" w:hAnsi="Times New Roman"/>
        </w:rPr>
        <w:t xml:space="preserve"> </w:t>
      </w:r>
      <w:proofErr w:type="spellStart"/>
      <w:r w:rsidRPr="00ED54B4">
        <w:rPr>
          <w:rFonts w:ascii="Times New Roman" w:hAnsi="Times New Roman"/>
        </w:rPr>
        <w:t>pakalpojumu</w:t>
      </w:r>
      <w:proofErr w:type="spellEnd"/>
      <w:r w:rsidRPr="00ED54B4">
        <w:rPr>
          <w:rFonts w:ascii="Times New Roman" w:hAnsi="Times New Roman"/>
        </w:rPr>
        <w:t xml:space="preserve"> </w:t>
      </w:r>
      <w:proofErr w:type="spellStart"/>
      <w:r w:rsidRPr="00ED54B4">
        <w:rPr>
          <w:rFonts w:ascii="Times New Roman" w:hAnsi="Times New Roman"/>
        </w:rPr>
        <w:t>likuma</w:t>
      </w:r>
      <w:proofErr w:type="spellEnd"/>
      <w:r w:rsidRPr="00ED54B4">
        <w:rPr>
          <w:rFonts w:ascii="Times New Roman" w:hAnsi="Times New Roman"/>
        </w:rPr>
        <w:t xml:space="preserve"> </w:t>
      </w:r>
      <w:proofErr w:type="gramStart"/>
      <w:r w:rsidRPr="00ED54B4">
        <w:rPr>
          <w:rFonts w:ascii="Times New Roman" w:hAnsi="Times New Roman"/>
        </w:rPr>
        <w:t>6.panta</w:t>
      </w:r>
      <w:proofErr w:type="gramEnd"/>
      <w:r w:rsidRPr="00ED54B4">
        <w:rPr>
          <w:rFonts w:ascii="Times New Roman" w:hAnsi="Times New Roman"/>
        </w:rPr>
        <w:t xml:space="preserve"> </w:t>
      </w:r>
      <w:proofErr w:type="spellStart"/>
      <w:r w:rsidRPr="00ED54B4">
        <w:rPr>
          <w:rFonts w:ascii="Times New Roman" w:hAnsi="Times New Roman"/>
        </w:rPr>
        <w:t>trešā</w:t>
      </w:r>
      <w:proofErr w:type="spellEnd"/>
      <w:r w:rsidRPr="00ED54B4">
        <w:rPr>
          <w:rFonts w:ascii="Times New Roman" w:hAnsi="Times New Roman"/>
        </w:rPr>
        <w:t xml:space="preserve"> </w:t>
      </w:r>
      <w:proofErr w:type="spellStart"/>
      <w:r w:rsidRPr="00ED54B4">
        <w:rPr>
          <w:rFonts w:ascii="Times New Roman" w:hAnsi="Times New Roman"/>
        </w:rPr>
        <w:t>daļa</w:t>
      </w:r>
      <w:proofErr w:type="spellEnd"/>
      <w:r w:rsidRPr="00ED54B4">
        <w:rPr>
          <w:rFonts w:ascii="Times New Roman" w:hAnsi="Times New Roman"/>
        </w:rPr>
        <w:t>.</w:t>
      </w:r>
    </w:p>
  </w:footnote>
  <w:footnote w:id="11">
    <w:p w14:paraId="0FCCE233" w14:textId="77777777" w:rsidR="00710479" w:rsidRPr="00ED54B4" w:rsidRDefault="00710479" w:rsidP="00EA1AA6">
      <w:pPr>
        <w:pStyle w:val="FootnoteText"/>
        <w:spacing w:after="0" w:line="240" w:lineRule="auto"/>
        <w:contextualSpacing/>
        <w:rPr>
          <w:rFonts w:ascii="Times New Roman" w:hAnsi="Times New Roman"/>
          <w:lang w:val="lv-LV"/>
        </w:rPr>
      </w:pPr>
      <w:r w:rsidRPr="00ED54B4">
        <w:rPr>
          <w:rStyle w:val="FootnoteReference"/>
          <w:rFonts w:ascii="Times New Roman" w:hAnsi="Times New Roman"/>
        </w:rPr>
        <w:footnoteRef/>
      </w:r>
      <w:r w:rsidRPr="00EB5C28">
        <w:rPr>
          <w:rFonts w:ascii="Times New Roman" w:hAnsi="Times New Roman"/>
          <w:lang w:val="lv-LV"/>
        </w:rPr>
        <w:t xml:space="preserve"> </w:t>
      </w:r>
      <w:r w:rsidRPr="00EB5C28">
        <w:rPr>
          <w:rFonts w:ascii="Times New Roman" w:hAnsi="Times New Roman"/>
          <w:lang w:val="lv-LV"/>
        </w:rPr>
        <w:t>Ministru kabineta 2002.gada 22.janvāra noteikumu Nr.34 “Noteikumi par piesārņojošo vielu emisiju ūdenī” 31.</w:t>
      </w:r>
      <w:r w:rsidRPr="00EB5C28">
        <w:rPr>
          <w:rFonts w:ascii="Times New Roman" w:hAnsi="Times New Roman"/>
          <w:vertAlign w:val="superscript"/>
          <w:lang w:val="lv-LV"/>
        </w:rPr>
        <w:t>1</w:t>
      </w:r>
      <w:r w:rsidRPr="00EB5C28">
        <w:rPr>
          <w:rFonts w:ascii="Times New Roman" w:hAnsi="Times New Roman"/>
          <w:lang w:val="lv-LV"/>
        </w:rPr>
        <w:t>, 32.punkts.</w:t>
      </w:r>
    </w:p>
  </w:footnote>
  <w:footnote w:id="12">
    <w:p w14:paraId="420E8423" w14:textId="77777777" w:rsidR="00710479" w:rsidRPr="00ED54B4" w:rsidRDefault="00710479" w:rsidP="00EA1AA6">
      <w:pPr>
        <w:pStyle w:val="FootnoteText"/>
        <w:spacing w:line="240" w:lineRule="auto"/>
        <w:contextualSpacing/>
        <w:jc w:val="both"/>
        <w:rPr>
          <w:rFonts w:ascii="Times New Roman" w:hAnsi="Times New Roman"/>
          <w:lang w:val="lv-LV"/>
        </w:rPr>
      </w:pPr>
      <w:r>
        <w:rPr>
          <w:rStyle w:val="FootnoteReference"/>
        </w:rPr>
        <w:footnoteRef/>
      </w:r>
      <w:r w:rsidRPr="00EB5C28">
        <w:rPr>
          <w:lang w:val="lv-LV"/>
        </w:rPr>
        <w:t xml:space="preserve"> </w:t>
      </w:r>
      <w:r w:rsidRPr="00EB5C28">
        <w:rPr>
          <w:rFonts w:ascii="Times New Roman" w:hAnsi="Times New Roman"/>
          <w:lang w:val="lv-LV"/>
        </w:rPr>
        <w:t>Domes 2017.gada 28.decembra saistošo noteikumu Nr.9 “Sabiedrisko ūdenssaimniecības pakalpojumu sniegšanas un lietošanas kārtība Salacgrīvas novada pašvaldībā” 11.punkts.</w:t>
      </w:r>
    </w:p>
  </w:footnote>
  <w:footnote w:id="13">
    <w:p w14:paraId="0CD6DF74" w14:textId="77777777" w:rsidR="00710479" w:rsidRPr="00A74B22" w:rsidRDefault="00710479" w:rsidP="002448EB">
      <w:pPr>
        <w:pStyle w:val="FootnoteText"/>
        <w:spacing w:after="0" w:line="240" w:lineRule="auto"/>
        <w:rPr>
          <w:rFonts w:ascii="Times New Roman" w:hAnsi="Times New Roman"/>
          <w:lang w:val="lv-LV"/>
        </w:rPr>
      </w:pPr>
      <w:r w:rsidRPr="00A74B22">
        <w:rPr>
          <w:rStyle w:val="FootnoteReference"/>
          <w:rFonts w:ascii="Times New Roman" w:hAnsi="Times New Roman"/>
          <w:lang w:val="lv-LV"/>
        </w:rPr>
        <w:footnoteRef/>
      </w:r>
      <w:r>
        <w:rPr>
          <w:rFonts w:ascii="Times New Roman" w:hAnsi="Times New Roman"/>
          <w:lang w:val="lv-LV"/>
        </w:rPr>
        <w:t> </w:t>
      </w:r>
      <w:r w:rsidRPr="00A74B22">
        <w:rPr>
          <w:rFonts w:ascii="Times New Roman" w:hAnsi="Times New Roman"/>
          <w:lang w:val="lv-LV"/>
        </w:rPr>
        <w:t>Noteikumu Nr.628 3. un 16.punkts, Likuma 25.panta otrā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46988" w14:textId="77777777" w:rsidR="004B2BAB" w:rsidRPr="00EB4123" w:rsidRDefault="004B2BAB">
    <w:pPr>
      <w:pStyle w:val="Header"/>
      <w:jc w:val="center"/>
      <w:rPr>
        <w:rFonts w:ascii="Times New Roman" w:hAnsi="Times New Roman"/>
      </w:rPr>
    </w:pPr>
    <w:r w:rsidRPr="00EB4123">
      <w:rPr>
        <w:rFonts w:ascii="Times New Roman" w:hAnsi="Times New Roman"/>
      </w:rPr>
      <w:fldChar w:fldCharType="begin"/>
    </w:r>
    <w:r w:rsidRPr="00EB4123">
      <w:rPr>
        <w:rFonts w:ascii="Times New Roman" w:hAnsi="Times New Roman"/>
      </w:rPr>
      <w:instrText>PAGE   \* MERGEFORMAT</w:instrText>
    </w:r>
    <w:r w:rsidRPr="00EB4123">
      <w:rPr>
        <w:rFonts w:ascii="Times New Roman" w:hAnsi="Times New Roman"/>
      </w:rPr>
      <w:fldChar w:fldCharType="separate"/>
    </w:r>
    <w:r w:rsidRPr="000E40EA">
      <w:rPr>
        <w:rFonts w:ascii="Times New Roman" w:hAnsi="Times New Roman"/>
        <w:noProof/>
        <w:lang w:val="lv-LV"/>
      </w:rPr>
      <w:t>6</w:t>
    </w:r>
    <w:r w:rsidRPr="00EB4123">
      <w:rPr>
        <w:rFonts w:ascii="Times New Roman" w:hAnsi="Times New Roman"/>
      </w:rPr>
      <w:fldChar w:fldCharType="end"/>
    </w:r>
  </w:p>
  <w:p w14:paraId="4A613982" w14:textId="77777777" w:rsidR="004B2BAB" w:rsidRDefault="004B2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3A87D80"/>
    <w:multiLevelType w:val="hybridMultilevel"/>
    <w:tmpl w:val="5FB400EC"/>
    <w:lvl w:ilvl="0" w:tplc="FC167BD6">
      <w:start w:val="1"/>
      <w:numFmt w:val="decimal"/>
      <w:lvlText w:val="%1."/>
      <w:lvlJc w:val="left"/>
      <w:pPr>
        <w:ind w:left="720" w:hanging="360"/>
      </w:pPr>
      <w:rPr>
        <w:rFonts w:hint="default"/>
        <w:i w:val="0"/>
      </w:rPr>
    </w:lvl>
    <w:lvl w:ilvl="1" w:tplc="389621C2" w:tentative="1">
      <w:start w:val="1"/>
      <w:numFmt w:val="lowerLetter"/>
      <w:lvlText w:val="%2."/>
      <w:lvlJc w:val="left"/>
      <w:pPr>
        <w:ind w:left="1440" w:hanging="360"/>
      </w:pPr>
    </w:lvl>
    <w:lvl w:ilvl="2" w:tplc="6F7A008E" w:tentative="1">
      <w:start w:val="1"/>
      <w:numFmt w:val="lowerRoman"/>
      <w:lvlText w:val="%3."/>
      <w:lvlJc w:val="right"/>
      <w:pPr>
        <w:ind w:left="2160" w:hanging="180"/>
      </w:pPr>
    </w:lvl>
    <w:lvl w:ilvl="3" w:tplc="A716705A" w:tentative="1">
      <w:start w:val="1"/>
      <w:numFmt w:val="decimal"/>
      <w:lvlText w:val="%4."/>
      <w:lvlJc w:val="left"/>
      <w:pPr>
        <w:ind w:left="2880" w:hanging="360"/>
      </w:pPr>
    </w:lvl>
    <w:lvl w:ilvl="4" w:tplc="C69261A6" w:tentative="1">
      <w:start w:val="1"/>
      <w:numFmt w:val="lowerLetter"/>
      <w:lvlText w:val="%5."/>
      <w:lvlJc w:val="left"/>
      <w:pPr>
        <w:ind w:left="3600" w:hanging="360"/>
      </w:pPr>
    </w:lvl>
    <w:lvl w:ilvl="5" w:tplc="9446D8CE" w:tentative="1">
      <w:start w:val="1"/>
      <w:numFmt w:val="lowerRoman"/>
      <w:lvlText w:val="%6."/>
      <w:lvlJc w:val="right"/>
      <w:pPr>
        <w:ind w:left="4320" w:hanging="180"/>
      </w:pPr>
    </w:lvl>
    <w:lvl w:ilvl="6" w:tplc="EBB64D62" w:tentative="1">
      <w:start w:val="1"/>
      <w:numFmt w:val="decimal"/>
      <w:lvlText w:val="%7."/>
      <w:lvlJc w:val="left"/>
      <w:pPr>
        <w:ind w:left="5040" w:hanging="360"/>
      </w:pPr>
    </w:lvl>
    <w:lvl w:ilvl="7" w:tplc="04BC12DA" w:tentative="1">
      <w:start w:val="1"/>
      <w:numFmt w:val="lowerLetter"/>
      <w:lvlText w:val="%8."/>
      <w:lvlJc w:val="left"/>
      <w:pPr>
        <w:ind w:left="5760" w:hanging="360"/>
      </w:pPr>
    </w:lvl>
    <w:lvl w:ilvl="8" w:tplc="99EA2406" w:tentative="1">
      <w:start w:val="1"/>
      <w:numFmt w:val="lowerRoman"/>
      <w:lvlText w:val="%9."/>
      <w:lvlJc w:val="right"/>
      <w:pPr>
        <w:ind w:left="6480" w:hanging="180"/>
      </w:pPr>
    </w:lvl>
  </w:abstractNum>
  <w:abstractNum w:abstractNumId="12" w15:restartNumberingAfterBreak="1">
    <w:nsid w:val="1A7529DF"/>
    <w:multiLevelType w:val="hybridMultilevel"/>
    <w:tmpl w:val="3A0C5134"/>
    <w:lvl w:ilvl="0" w:tplc="7A50D5D8">
      <w:start w:val="1"/>
      <w:numFmt w:val="decimal"/>
      <w:lvlText w:val="%1."/>
      <w:lvlJc w:val="left"/>
      <w:pPr>
        <w:ind w:left="720" w:hanging="435"/>
      </w:pPr>
      <w:rPr>
        <w:rFonts w:hint="default"/>
      </w:rPr>
    </w:lvl>
    <w:lvl w:ilvl="1" w:tplc="65A4D9A8" w:tentative="1">
      <w:start w:val="1"/>
      <w:numFmt w:val="lowerLetter"/>
      <w:lvlText w:val="%2."/>
      <w:lvlJc w:val="left"/>
      <w:pPr>
        <w:ind w:left="1365" w:hanging="360"/>
      </w:pPr>
    </w:lvl>
    <w:lvl w:ilvl="2" w:tplc="941EA872" w:tentative="1">
      <w:start w:val="1"/>
      <w:numFmt w:val="lowerRoman"/>
      <w:lvlText w:val="%3."/>
      <w:lvlJc w:val="right"/>
      <w:pPr>
        <w:ind w:left="2085" w:hanging="180"/>
      </w:pPr>
    </w:lvl>
    <w:lvl w:ilvl="3" w:tplc="B76AD858" w:tentative="1">
      <w:start w:val="1"/>
      <w:numFmt w:val="decimal"/>
      <w:lvlText w:val="%4."/>
      <w:lvlJc w:val="left"/>
      <w:pPr>
        <w:ind w:left="2805" w:hanging="360"/>
      </w:pPr>
    </w:lvl>
    <w:lvl w:ilvl="4" w:tplc="224E8EC4" w:tentative="1">
      <w:start w:val="1"/>
      <w:numFmt w:val="lowerLetter"/>
      <w:lvlText w:val="%5."/>
      <w:lvlJc w:val="left"/>
      <w:pPr>
        <w:ind w:left="3525" w:hanging="360"/>
      </w:pPr>
    </w:lvl>
    <w:lvl w:ilvl="5" w:tplc="6F048342" w:tentative="1">
      <w:start w:val="1"/>
      <w:numFmt w:val="lowerRoman"/>
      <w:lvlText w:val="%6."/>
      <w:lvlJc w:val="right"/>
      <w:pPr>
        <w:ind w:left="4245" w:hanging="180"/>
      </w:pPr>
    </w:lvl>
    <w:lvl w:ilvl="6" w:tplc="F320BC56" w:tentative="1">
      <w:start w:val="1"/>
      <w:numFmt w:val="decimal"/>
      <w:lvlText w:val="%7."/>
      <w:lvlJc w:val="left"/>
      <w:pPr>
        <w:ind w:left="4965" w:hanging="360"/>
      </w:pPr>
    </w:lvl>
    <w:lvl w:ilvl="7" w:tplc="A47498C4" w:tentative="1">
      <w:start w:val="1"/>
      <w:numFmt w:val="lowerLetter"/>
      <w:lvlText w:val="%8."/>
      <w:lvlJc w:val="left"/>
      <w:pPr>
        <w:ind w:left="5685" w:hanging="360"/>
      </w:pPr>
    </w:lvl>
    <w:lvl w:ilvl="8" w:tplc="469E87CE" w:tentative="1">
      <w:start w:val="1"/>
      <w:numFmt w:val="lowerRoman"/>
      <w:lvlText w:val="%9."/>
      <w:lvlJc w:val="right"/>
      <w:pPr>
        <w:ind w:left="6405" w:hanging="180"/>
      </w:pPr>
    </w:lvl>
  </w:abstractNum>
  <w:abstractNum w:abstractNumId="13" w15:restartNumberingAfterBreak="1">
    <w:nsid w:val="27EA7B0C"/>
    <w:multiLevelType w:val="multilevel"/>
    <w:tmpl w:val="D57A4200"/>
    <w:lvl w:ilvl="0">
      <w:start w:val="9"/>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1">
    <w:nsid w:val="3C18273B"/>
    <w:multiLevelType w:val="hybridMultilevel"/>
    <w:tmpl w:val="31947D0A"/>
    <w:lvl w:ilvl="0" w:tplc="98301592">
      <w:start w:val="1"/>
      <w:numFmt w:val="decimal"/>
      <w:lvlText w:val="%1."/>
      <w:lvlJc w:val="left"/>
      <w:pPr>
        <w:ind w:left="1440" w:hanging="720"/>
      </w:pPr>
      <w:rPr>
        <w:rFonts w:hint="default"/>
      </w:rPr>
    </w:lvl>
    <w:lvl w:ilvl="1" w:tplc="0A9C7F62" w:tentative="1">
      <w:start w:val="1"/>
      <w:numFmt w:val="lowerLetter"/>
      <w:lvlText w:val="%2."/>
      <w:lvlJc w:val="left"/>
      <w:pPr>
        <w:ind w:left="1800" w:hanging="360"/>
      </w:pPr>
    </w:lvl>
    <w:lvl w:ilvl="2" w:tplc="325AF9F6" w:tentative="1">
      <w:start w:val="1"/>
      <w:numFmt w:val="lowerRoman"/>
      <w:lvlText w:val="%3."/>
      <w:lvlJc w:val="right"/>
      <w:pPr>
        <w:ind w:left="2520" w:hanging="180"/>
      </w:pPr>
    </w:lvl>
    <w:lvl w:ilvl="3" w:tplc="FF6C9224" w:tentative="1">
      <w:start w:val="1"/>
      <w:numFmt w:val="decimal"/>
      <w:lvlText w:val="%4."/>
      <w:lvlJc w:val="left"/>
      <w:pPr>
        <w:ind w:left="3240" w:hanging="360"/>
      </w:pPr>
    </w:lvl>
    <w:lvl w:ilvl="4" w:tplc="FC26D992" w:tentative="1">
      <w:start w:val="1"/>
      <w:numFmt w:val="lowerLetter"/>
      <w:lvlText w:val="%5."/>
      <w:lvlJc w:val="left"/>
      <w:pPr>
        <w:ind w:left="3960" w:hanging="360"/>
      </w:pPr>
    </w:lvl>
    <w:lvl w:ilvl="5" w:tplc="62BC57F6" w:tentative="1">
      <w:start w:val="1"/>
      <w:numFmt w:val="lowerRoman"/>
      <w:lvlText w:val="%6."/>
      <w:lvlJc w:val="right"/>
      <w:pPr>
        <w:ind w:left="4680" w:hanging="180"/>
      </w:pPr>
    </w:lvl>
    <w:lvl w:ilvl="6" w:tplc="D090B4FE" w:tentative="1">
      <w:start w:val="1"/>
      <w:numFmt w:val="decimal"/>
      <w:lvlText w:val="%7."/>
      <w:lvlJc w:val="left"/>
      <w:pPr>
        <w:ind w:left="5400" w:hanging="360"/>
      </w:pPr>
    </w:lvl>
    <w:lvl w:ilvl="7" w:tplc="F3C2045E" w:tentative="1">
      <w:start w:val="1"/>
      <w:numFmt w:val="lowerLetter"/>
      <w:lvlText w:val="%8."/>
      <w:lvlJc w:val="left"/>
      <w:pPr>
        <w:ind w:left="6120" w:hanging="360"/>
      </w:pPr>
    </w:lvl>
    <w:lvl w:ilvl="8" w:tplc="C6E4A03A" w:tentative="1">
      <w:start w:val="1"/>
      <w:numFmt w:val="lowerRoman"/>
      <w:lvlText w:val="%9."/>
      <w:lvlJc w:val="right"/>
      <w:pPr>
        <w:ind w:left="6840" w:hanging="180"/>
      </w:pPr>
    </w:lvl>
  </w:abstractNum>
  <w:abstractNum w:abstractNumId="15" w15:restartNumberingAfterBreak="1">
    <w:nsid w:val="40222BDE"/>
    <w:multiLevelType w:val="hybridMultilevel"/>
    <w:tmpl w:val="0A12B0A8"/>
    <w:lvl w:ilvl="0" w:tplc="BE1AA6CC">
      <w:start w:val="1"/>
      <w:numFmt w:val="decimal"/>
      <w:lvlText w:val="%1)"/>
      <w:lvlJc w:val="left"/>
      <w:pPr>
        <w:ind w:left="360" w:hanging="360"/>
      </w:pPr>
      <w:rPr>
        <w:rFonts w:hint="default"/>
      </w:rPr>
    </w:lvl>
    <w:lvl w:ilvl="1" w:tplc="51B29888" w:tentative="1">
      <w:start w:val="1"/>
      <w:numFmt w:val="lowerLetter"/>
      <w:lvlText w:val="%2."/>
      <w:lvlJc w:val="left"/>
      <w:pPr>
        <w:ind w:left="1080" w:hanging="360"/>
      </w:pPr>
    </w:lvl>
    <w:lvl w:ilvl="2" w:tplc="25A0DB28" w:tentative="1">
      <w:start w:val="1"/>
      <w:numFmt w:val="lowerRoman"/>
      <w:lvlText w:val="%3."/>
      <w:lvlJc w:val="right"/>
      <w:pPr>
        <w:ind w:left="1800" w:hanging="180"/>
      </w:pPr>
    </w:lvl>
    <w:lvl w:ilvl="3" w:tplc="2676F6CE" w:tentative="1">
      <w:start w:val="1"/>
      <w:numFmt w:val="decimal"/>
      <w:lvlText w:val="%4."/>
      <w:lvlJc w:val="left"/>
      <w:pPr>
        <w:ind w:left="2520" w:hanging="360"/>
      </w:pPr>
    </w:lvl>
    <w:lvl w:ilvl="4" w:tplc="EF4A92E8" w:tentative="1">
      <w:start w:val="1"/>
      <w:numFmt w:val="lowerLetter"/>
      <w:lvlText w:val="%5."/>
      <w:lvlJc w:val="left"/>
      <w:pPr>
        <w:ind w:left="3240" w:hanging="360"/>
      </w:pPr>
    </w:lvl>
    <w:lvl w:ilvl="5" w:tplc="765C1002" w:tentative="1">
      <w:start w:val="1"/>
      <w:numFmt w:val="lowerRoman"/>
      <w:lvlText w:val="%6."/>
      <w:lvlJc w:val="right"/>
      <w:pPr>
        <w:ind w:left="3960" w:hanging="180"/>
      </w:pPr>
    </w:lvl>
    <w:lvl w:ilvl="6" w:tplc="73EED676" w:tentative="1">
      <w:start w:val="1"/>
      <w:numFmt w:val="decimal"/>
      <w:lvlText w:val="%7."/>
      <w:lvlJc w:val="left"/>
      <w:pPr>
        <w:ind w:left="4680" w:hanging="360"/>
      </w:pPr>
    </w:lvl>
    <w:lvl w:ilvl="7" w:tplc="2A6CBDA6" w:tentative="1">
      <w:start w:val="1"/>
      <w:numFmt w:val="lowerLetter"/>
      <w:lvlText w:val="%8."/>
      <w:lvlJc w:val="left"/>
      <w:pPr>
        <w:ind w:left="5400" w:hanging="360"/>
      </w:pPr>
    </w:lvl>
    <w:lvl w:ilvl="8" w:tplc="FD1CB3A0" w:tentative="1">
      <w:start w:val="1"/>
      <w:numFmt w:val="lowerRoman"/>
      <w:lvlText w:val="%9."/>
      <w:lvlJc w:val="right"/>
      <w:pPr>
        <w:ind w:left="6120" w:hanging="180"/>
      </w:pPr>
    </w:lvl>
  </w:abstractNum>
  <w:abstractNum w:abstractNumId="16" w15:restartNumberingAfterBreak="1">
    <w:nsid w:val="65007011"/>
    <w:multiLevelType w:val="multilevel"/>
    <w:tmpl w:val="43E054B4"/>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1">
    <w:nsid w:val="662C7706"/>
    <w:multiLevelType w:val="multilevel"/>
    <w:tmpl w:val="30546C30"/>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6"/>
  </w:num>
  <w:num w:numId="14">
    <w:abstractNumId w:val="11"/>
  </w:num>
  <w:num w:numId="15">
    <w:abstractNumId w:val="14"/>
  </w:num>
  <w:num w:numId="16">
    <w:abstractNumId w:val="15"/>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61B"/>
    <w:rsid w:val="000052EB"/>
    <w:rsid w:val="00006384"/>
    <w:rsid w:val="00030349"/>
    <w:rsid w:val="00045665"/>
    <w:rsid w:val="0006426D"/>
    <w:rsid w:val="00071C08"/>
    <w:rsid w:val="000747F4"/>
    <w:rsid w:val="0008595C"/>
    <w:rsid w:val="000A13C3"/>
    <w:rsid w:val="000B22AC"/>
    <w:rsid w:val="000B7FBF"/>
    <w:rsid w:val="000D3C8C"/>
    <w:rsid w:val="000D7085"/>
    <w:rsid w:val="000E40EA"/>
    <w:rsid w:val="000F1243"/>
    <w:rsid w:val="00110757"/>
    <w:rsid w:val="0011609F"/>
    <w:rsid w:val="00124173"/>
    <w:rsid w:val="00132CB4"/>
    <w:rsid w:val="001335F1"/>
    <w:rsid w:val="00141B17"/>
    <w:rsid w:val="00170C81"/>
    <w:rsid w:val="00172EE2"/>
    <w:rsid w:val="00180D70"/>
    <w:rsid w:val="001835BB"/>
    <w:rsid w:val="0019000B"/>
    <w:rsid w:val="00196398"/>
    <w:rsid w:val="001A3156"/>
    <w:rsid w:val="001B35FE"/>
    <w:rsid w:val="001B503D"/>
    <w:rsid w:val="001C5C7F"/>
    <w:rsid w:val="001C6A55"/>
    <w:rsid w:val="001D5D58"/>
    <w:rsid w:val="001D6C4B"/>
    <w:rsid w:val="001E203D"/>
    <w:rsid w:val="001E34C8"/>
    <w:rsid w:val="001E3B7B"/>
    <w:rsid w:val="001E4052"/>
    <w:rsid w:val="001F399A"/>
    <w:rsid w:val="00222A7A"/>
    <w:rsid w:val="002267A4"/>
    <w:rsid w:val="002448EB"/>
    <w:rsid w:val="00261CCF"/>
    <w:rsid w:val="002731FC"/>
    <w:rsid w:val="00275B9E"/>
    <w:rsid w:val="002B26F7"/>
    <w:rsid w:val="002B3077"/>
    <w:rsid w:val="002B45C5"/>
    <w:rsid w:val="002C72AB"/>
    <w:rsid w:val="002D773A"/>
    <w:rsid w:val="002E1474"/>
    <w:rsid w:val="002F50F9"/>
    <w:rsid w:val="002F77AF"/>
    <w:rsid w:val="003211EE"/>
    <w:rsid w:val="0032205B"/>
    <w:rsid w:val="00322F16"/>
    <w:rsid w:val="003316E5"/>
    <w:rsid w:val="00335032"/>
    <w:rsid w:val="00346F09"/>
    <w:rsid w:val="00361146"/>
    <w:rsid w:val="0037276C"/>
    <w:rsid w:val="00380E49"/>
    <w:rsid w:val="00385066"/>
    <w:rsid w:val="00386588"/>
    <w:rsid w:val="003A0251"/>
    <w:rsid w:val="003A58FC"/>
    <w:rsid w:val="003A7B32"/>
    <w:rsid w:val="003B0E64"/>
    <w:rsid w:val="003E5B24"/>
    <w:rsid w:val="00402D61"/>
    <w:rsid w:val="004075A7"/>
    <w:rsid w:val="004151DB"/>
    <w:rsid w:val="00421287"/>
    <w:rsid w:val="00424EEE"/>
    <w:rsid w:val="0043368F"/>
    <w:rsid w:val="00443533"/>
    <w:rsid w:val="0045447A"/>
    <w:rsid w:val="00461CA3"/>
    <w:rsid w:val="00466369"/>
    <w:rsid w:val="004805C1"/>
    <w:rsid w:val="00493308"/>
    <w:rsid w:val="004A765D"/>
    <w:rsid w:val="004B2BAB"/>
    <w:rsid w:val="004C5BB9"/>
    <w:rsid w:val="004D09C6"/>
    <w:rsid w:val="004D1C7B"/>
    <w:rsid w:val="004D6474"/>
    <w:rsid w:val="004E4342"/>
    <w:rsid w:val="00501E91"/>
    <w:rsid w:val="00503F9C"/>
    <w:rsid w:val="005115E5"/>
    <w:rsid w:val="00515A0D"/>
    <w:rsid w:val="0052238F"/>
    <w:rsid w:val="00522E36"/>
    <w:rsid w:val="00535564"/>
    <w:rsid w:val="00536BE2"/>
    <w:rsid w:val="00552E6D"/>
    <w:rsid w:val="005676EA"/>
    <w:rsid w:val="005B348E"/>
    <w:rsid w:val="005B4B41"/>
    <w:rsid w:val="005B5AA4"/>
    <w:rsid w:val="005B5DEA"/>
    <w:rsid w:val="005B6532"/>
    <w:rsid w:val="005C4D6D"/>
    <w:rsid w:val="005D0592"/>
    <w:rsid w:val="005E5903"/>
    <w:rsid w:val="005F6310"/>
    <w:rsid w:val="00612437"/>
    <w:rsid w:val="00663C3A"/>
    <w:rsid w:val="00667F0B"/>
    <w:rsid w:val="00672394"/>
    <w:rsid w:val="006818FC"/>
    <w:rsid w:val="00696547"/>
    <w:rsid w:val="006C1639"/>
    <w:rsid w:val="006D1882"/>
    <w:rsid w:val="006E0C7D"/>
    <w:rsid w:val="0070288C"/>
    <w:rsid w:val="00710479"/>
    <w:rsid w:val="007249DD"/>
    <w:rsid w:val="007336A2"/>
    <w:rsid w:val="00743DC7"/>
    <w:rsid w:val="007442A7"/>
    <w:rsid w:val="00747CCB"/>
    <w:rsid w:val="007545CE"/>
    <w:rsid w:val="00764309"/>
    <w:rsid w:val="007704BD"/>
    <w:rsid w:val="00781D0B"/>
    <w:rsid w:val="00791B8B"/>
    <w:rsid w:val="00791F46"/>
    <w:rsid w:val="00794BF8"/>
    <w:rsid w:val="007B3BA5"/>
    <w:rsid w:val="007B48EC"/>
    <w:rsid w:val="007C0578"/>
    <w:rsid w:val="007C5A7C"/>
    <w:rsid w:val="007D1411"/>
    <w:rsid w:val="007D370D"/>
    <w:rsid w:val="007D4C93"/>
    <w:rsid w:val="007D623A"/>
    <w:rsid w:val="007E4D1F"/>
    <w:rsid w:val="007E5D8A"/>
    <w:rsid w:val="007E61BF"/>
    <w:rsid w:val="00801A1A"/>
    <w:rsid w:val="00811C27"/>
    <w:rsid w:val="00812C1B"/>
    <w:rsid w:val="00815277"/>
    <w:rsid w:val="00821309"/>
    <w:rsid w:val="008379F5"/>
    <w:rsid w:val="00851F7F"/>
    <w:rsid w:val="00852241"/>
    <w:rsid w:val="0085776E"/>
    <w:rsid w:val="00876380"/>
    <w:rsid w:val="00876C21"/>
    <w:rsid w:val="00892094"/>
    <w:rsid w:val="008B47B7"/>
    <w:rsid w:val="008F1852"/>
    <w:rsid w:val="008F7063"/>
    <w:rsid w:val="00901591"/>
    <w:rsid w:val="0091080A"/>
    <w:rsid w:val="00933F2A"/>
    <w:rsid w:val="00940E93"/>
    <w:rsid w:val="00942C88"/>
    <w:rsid w:val="00944AE0"/>
    <w:rsid w:val="00945A11"/>
    <w:rsid w:val="00946ED7"/>
    <w:rsid w:val="00954D5A"/>
    <w:rsid w:val="00960ACF"/>
    <w:rsid w:val="00961CC4"/>
    <w:rsid w:val="00986CA6"/>
    <w:rsid w:val="009A3736"/>
    <w:rsid w:val="009B5EB0"/>
    <w:rsid w:val="009B79A6"/>
    <w:rsid w:val="009C4CFA"/>
    <w:rsid w:val="009D15A9"/>
    <w:rsid w:val="009D3010"/>
    <w:rsid w:val="009F7CA8"/>
    <w:rsid w:val="00A02EED"/>
    <w:rsid w:val="00A04DBE"/>
    <w:rsid w:val="00A140C2"/>
    <w:rsid w:val="00A23CFB"/>
    <w:rsid w:val="00A23CFD"/>
    <w:rsid w:val="00A36061"/>
    <w:rsid w:val="00A400FA"/>
    <w:rsid w:val="00A50036"/>
    <w:rsid w:val="00A51B68"/>
    <w:rsid w:val="00A56399"/>
    <w:rsid w:val="00A65614"/>
    <w:rsid w:val="00A74B22"/>
    <w:rsid w:val="00A80DA1"/>
    <w:rsid w:val="00A9474D"/>
    <w:rsid w:val="00AB6A01"/>
    <w:rsid w:val="00AC1E59"/>
    <w:rsid w:val="00AC1EA1"/>
    <w:rsid w:val="00AD12D2"/>
    <w:rsid w:val="00B0421D"/>
    <w:rsid w:val="00B1443A"/>
    <w:rsid w:val="00B1673D"/>
    <w:rsid w:val="00B82CCF"/>
    <w:rsid w:val="00B9746A"/>
    <w:rsid w:val="00BD2A44"/>
    <w:rsid w:val="00BE0B72"/>
    <w:rsid w:val="00BF18F6"/>
    <w:rsid w:val="00C01D43"/>
    <w:rsid w:val="00C05BCB"/>
    <w:rsid w:val="00C20CB7"/>
    <w:rsid w:val="00C219F5"/>
    <w:rsid w:val="00C33A29"/>
    <w:rsid w:val="00C47F57"/>
    <w:rsid w:val="00C51118"/>
    <w:rsid w:val="00C51487"/>
    <w:rsid w:val="00C52599"/>
    <w:rsid w:val="00C62E70"/>
    <w:rsid w:val="00C72FC2"/>
    <w:rsid w:val="00C76514"/>
    <w:rsid w:val="00C80FFB"/>
    <w:rsid w:val="00C93F7F"/>
    <w:rsid w:val="00CA4BC2"/>
    <w:rsid w:val="00CA5A73"/>
    <w:rsid w:val="00CC18C6"/>
    <w:rsid w:val="00CC31CF"/>
    <w:rsid w:val="00CC3A2E"/>
    <w:rsid w:val="00D04D7A"/>
    <w:rsid w:val="00D21FA6"/>
    <w:rsid w:val="00D55B4B"/>
    <w:rsid w:val="00D70725"/>
    <w:rsid w:val="00D72396"/>
    <w:rsid w:val="00D85326"/>
    <w:rsid w:val="00DA4814"/>
    <w:rsid w:val="00DB0BDE"/>
    <w:rsid w:val="00DB57E6"/>
    <w:rsid w:val="00DE57E4"/>
    <w:rsid w:val="00DE76D1"/>
    <w:rsid w:val="00DF202F"/>
    <w:rsid w:val="00E07B58"/>
    <w:rsid w:val="00E07F75"/>
    <w:rsid w:val="00E12663"/>
    <w:rsid w:val="00E365CE"/>
    <w:rsid w:val="00E41A10"/>
    <w:rsid w:val="00E42CDD"/>
    <w:rsid w:val="00E57D67"/>
    <w:rsid w:val="00E613F4"/>
    <w:rsid w:val="00E905DE"/>
    <w:rsid w:val="00E90EA2"/>
    <w:rsid w:val="00E91691"/>
    <w:rsid w:val="00E96AEA"/>
    <w:rsid w:val="00EA1AA6"/>
    <w:rsid w:val="00EA3B00"/>
    <w:rsid w:val="00EA6F2D"/>
    <w:rsid w:val="00EB4123"/>
    <w:rsid w:val="00EB5C28"/>
    <w:rsid w:val="00EC7661"/>
    <w:rsid w:val="00ED4AB8"/>
    <w:rsid w:val="00ED54B4"/>
    <w:rsid w:val="00EE54A5"/>
    <w:rsid w:val="00EE5B27"/>
    <w:rsid w:val="00F1277D"/>
    <w:rsid w:val="00F134FA"/>
    <w:rsid w:val="00F204DD"/>
    <w:rsid w:val="00F22C8D"/>
    <w:rsid w:val="00F2576A"/>
    <w:rsid w:val="00F30778"/>
    <w:rsid w:val="00F350AF"/>
    <w:rsid w:val="00F35810"/>
    <w:rsid w:val="00F405D2"/>
    <w:rsid w:val="00F60586"/>
    <w:rsid w:val="00F61494"/>
    <w:rsid w:val="00F61E60"/>
    <w:rsid w:val="00F8400B"/>
    <w:rsid w:val="00F960EB"/>
    <w:rsid w:val="00FD696B"/>
    <w:rsid w:val="00FE5240"/>
    <w:rsid w:val="00FF1384"/>
    <w:rsid w:val="00FF5E2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580E9"/>
  <w15:chartTrackingRefBased/>
  <w15:docId w15:val="{41FC482F-971E-4195-9C90-3A32AE2E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Neatrisintapieminana">
    <w:name w:val="Neatrisināta pieminēšana"/>
    <w:uiPriority w:val="99"/>
    <w:semiHidden/>
    <w:unhideWhenUsed/>
    <w:rsid w:val="00CC3A2E"/>
    <w:rPr>
      <w:color w:val="605E5C"/>
      <w:shd w:val="clear" w:color="auto" w:fill="E1DFDD"/>
    </w:rPr>
  </w:style>
  <w:style w:type="character" w:styleId="CommentReference">
    <w:name w:val="annotation reference"/>
    <w:uiPriority w:val="99"/>
    <w:semiHidden/>
    <w:unhideWhenUsed/>
    <w:rsid w:val="0006426D"/>
    <w:rPr>
      <w:sz w:val="16"/>
      <w:szCs w:val="16"/>
    </w:rPr>
  </w:style>
  <w:style w:type="paragraph" w:styleId="CommentText">
    <w:name w:val="annotation text"/>
    <w:basedOn w:val="Normal"/>
    <w:link w:val="CommentTextChar"/>
    <w:uiPriority w:val="99"/>
    <w:semiHidden/>
    <w:unhideWhenUsed/>
    <w:rsid w:val="0006426D"/>
    <w:rPr>
      <w:sz w:val="20"/>
      <w:szCs w:val="20"/>
    </w:rPr>
  </w:style>
  <w:style w:type="character" w:customStyle="1" w:styleId="CommentTextChar">
    <w:name w:val="Comment Text Char"/>
    <w:link w:val="CommentText"/>
    <w:uiPriority w:val="99"/>
    <w:semiHidden/>
    <w:rsid w:val="0006426D"/>
    <w:rPr>
      <w:lang w:val="en-US" w:eastAsia="en-US"/>
    </w:rPr>
  </w:style>
  <w:style w:type="paragraph" w:styleId="CommentSubject">
    <w:name w:val="annotation subject"/>
    <w:basedOn w:val="CommentText"/>
    <w:next w:val="CommentText"/>
    <w:link w:val="CommentSubjectChar"/>
    <w:uiPriority w:val="99"/>
    <w:semiHidden/>
    <w:unhideWhenUsed/>
    <w:rsid w:val="0006426D"/>
    <w:rPr>
      <w:b/>
      <w:bCs/>
    </w:rPr>
  </w:style>
  <w:style w:type="character" w:customStyle="1" w:styleId="CommentSubjectChar">
    <w:name w:val="Comment Subject Char"/>
    <w:link w:val="CommentSubject"/>
    <w:uiPriority w:val="99"/>
    <w:semiHidden/>
    <w:rsid w:val="0006426D"/>
    <w:rPr>
      <w:b/>
      <w:bCs/>
      <w:lang w:val="en-US" w:eastAsia="en-US"/>
    </w:rPr>
  </w:style>
  <w:style w:type="paragraph" w:styleId="ListParagraph">
    <w:name w:val="List Paragraph"/>
    <w:basedOn w:val="Normal"/>
    <w:uiPriority w:val="34"/>
    <w:qFormat/>
    <w:rsid w:val="00942C88"/>
    <w:pPr>
      <w:ind w:left="720"/>
      <w:contextualSpacing/>
    </w:pPr>
  </w:style>
  <w:style w:type="paragraph" w:styleId="FootnoteText">
    <w:name w:val="footnote text"/>
    <w:basedOn w:val="Normal"/>
    <w:link w:val="FootnoteTextChar"/>
    <w:uiPriority w:val="99"/>
    <w:unhideWhenUsed/>
    <w:rsid w:val="001D6C4B"/>
    <w:rPr>
      <w:sz w:val="20"/>
      <w:szCs w:val="20"/>
    </w:rPr>
  </w:style>
  <w:style w:type="character" w:customStyle="1" w:styleId="FootnoteTextChar">
    <w:name w:val="Footnote Text Char"/>
    <w:link w:val="FootnoteText"/>
    <w:uiPriority w:val="99"/>
    <w:rsid w:val="001D6C4B"/>
    <w:rPr>
      <w:lang w:val="en-US" w:eastAsia="en-US"/>
    </w:rPr>
  </w:style>
  <w:style w:type="character" w:styleId="FootnoteReference">
    <w:name w:val="footnote reference"/>
    <w:uiPriority w:val="99"/>
    <w:semiHidden/>
    <w:unhideWhenUsed/>
    <w:rsid w:val="001D6C4B"/>
    <w:rPr>
      <w:vertAlign w:val="superscript"/>
    </w:rPr>
  </w:style>
  <w:style w:type="character" w:customStyle="1" w:styleId="eop">
    <w:name w:val="eop"/>
    <w:rsid w:val="00BD2A44"/>
  </w:style>
  <w:style w:type="paragraph" w:styleId="Revision">
    <w:name w:val="Revision"/>
    <w:hidden/>
    <w:uiPriority w:val="99"/>
    <w:semiHidden/>
    <w:rsid w:val="000747F4"/>
    <w:rPr>
      <w:sz w:val="22"/>
      <w:szCs w:val="22"/>
      <w:lang w:val="en-US" w:eastAsia="en-US"/>
    </w:rPr>
  </w:style>
  <w:style w:type="table" w:styleId="TableGrid">
    <w:name w:val="Table Grid"/>
    <w:basedOn w:val="TableNormal"/>
    <w:uiPriority w:val="59"/>
    <w:unhideWhenUsed/>
    <w:rsid w:val="002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D059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UnresolvedMention">
    <w:name w:val="Unresolved Mention"/>
    <w:basedOn w:val="DefaultParagraphFont"/>
    <w:uiPriority w:val="99"/>
    <w:semiHidden/>
    <w:unhideWhenUsed/>
    <w:rsid w:val="00AD1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98586">
      <w:bodyDiv w:val="1"/>
      <w:marLeft w:val="0"/>
      <w:marRight w:val="0"/>
      <w:marTop w:val="0"/>
      <w:marBottom w:val="0"/>
      <w:divBdr>
        <w:top w:val="none" w:sz="0" w:space="0" w:color="auto"/>
        <w:left w:val="none" w:sz="0" w:space="0" w:color="auto"/>
        <w:bottom w:val="none" w:sz="0" w:space="0" w:color="auto"/>
        <w:right w:val="none" w:sz="0" w:space="0" w:color="auto"/>
      </w:divBdr>
    </w:div>
    <w:div w:id="2009019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olatvija.lv/geo/tapi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eolatvija.lv/geo/ta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B94AC31992EDB4DAD21854140F646B5" ma:contentTypeVersion="11" ma:contentTypeDescription="Izveidot jaunu dokumentu." ma:contentTypeScope="" ma:versionID="6ed8d456817d7260a81f7e1e1b17ee4f">
  <xsd:schema xmlns:xsd="http://www.w3.org/2001/XMLSchema" xmlns:xs="http://www.w3.org/2001/XMLSchema" xmlns:p="http://schemas.microsoft.com/office/2006/metadata/properties" xmlns:ns3="112ad960-fcc6-4ce0-94db-30ca25b31a35" xmlns:ns4="914542a3-0816-4103-a00b-8658283153ca" targetNamespace="http://schemas.microsoft.com/office/2006/metadata/properties" ma:root="true" ma:fieldsID="ef27168cd9f200f81b3152b17e14efa5" ns3:_="" ns4:_="">
    <xsd:import namespace="112ad960-fcc6-4ce0-94db-30ca25b31a35"/>
    <xsd:import namespace="914542a3-0816-4103-a00b-8658283153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ad960-fcc6-4ce0-94db-30ca25b31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542a3-0816-4103-a00b-8658283153ca"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D392D-4B7C-415E-B762-54BDCACCA5DC}">
  <ds:schemaRefs>
    <ds:schemaRef ds:uri="http://schemas.openxmlformats.org/officeDocument/2006/bibliography"/>
  </ds:schemaRefs>
</ds:datastoreItem>
</file>

<file path=customXml/itemProps2.xml><?xml version="1.0" encoding="utf-8"?>
<ds:datastoreItem xmlns:ds="http://schemas.openxmlformats.org/officeDocument/2006/customXml" ds:itemID="{ED116902-58A2-4853-9D72-1325F63D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ad960-fcc6-4ce0-94db-30ca25b31a35"/>
    <ds:schemaRef ds:uri="914542a3-0816-4103-a00b-865828315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A605A-267D-4424-AD2C-0E3361929289}">
  <ds:schemaRefs>
    <ds:schemaRef ds:uri="http://schemas.microsoft.com/sharepoint/v3/contenttype/forms"/>
  </ds:schemaRefs>
</ds:datastoreItem>
</file>

<file path=customXml/itemProps4.xml><?xml version="1.0" encoding="utf-8"?>
<ds:datastoreItem xmlns:ds="http://schemas.openxmlformats.org/officeDocument/2006/customXml" ds:itemID="{CB2865BA-56E2-4876-ACB1-A87013A967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12536</Words>
  <Characters>7146</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Salacgrīvas novada domes 2020.gada 19.februāra saistošo noteikumu Nr.4 "Salacgrīvas novada teritorijas plānojuma līdz 2030.gadam teritorijas izmantošanas un apbūves noteikumi un grafiskā daļa" darbības apturēšanu</vt:lpstr>
      <vt:lpstr>Par Salacgrīvas novada domes 2020.gada 19.februāra saistošo noteikumu Nr.4 "Salacgrīvas novada teritorijas plānojuma līdz 2030.gadam teritorijas izmantošanas un apbūves noteikumi un grafiskā daļa" darbības apturēšanu</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Salacgrīvas novada domes 2020.gada 19.februāra saistošo noteikumu Nr.4 "Salacgrīvas novada teritorijas plānojuma līdz 2030.gadam teritorijas izmantošanas un apbūves noteikumi un grafiskā daļa" darbības apturēšanu</dc:title>
  <dc:subject>Rīkojums</dc:subject>
  <dc:creator>Ilze Aigare</dc:creator>
  <cp:keywords/>
  <dc:description>Aigare
Ilze.Aigare@varam.gov.lv</dc:description>
  <cp:lastModifiedBy>Gunta Klismeta</cp:lastModifiedBy>
  <cp:revision>2</cp:revision>
  <cp:lastPrinted>2019-11-25T13:16:00Z</cp:lastPrinted>
  <dcterms:created xsi:type="dcterms:W3CDTF">2020-06-18T08:39:00Z</dcterms:created>
  <dcterms:modified xsi:type="dcterms:W3CDTF">2020-06-18T08:39:00Z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0x010100CB94AC31992EDB4DAD21854140F646B5</vt:lpwstr>
  </property>
  <property fmtid="{D5CDD505-2E9C-101B-9397-08002B2CF9AE}" pid="3" name="Created">
    <vt:filetime>2014-11-05T00:00:00Z</vt:filetime>
  </property>
  <property fmtid="{D5CDD505-2E9C-101B-9397-08002B2CF9AE}" pid="4" name="LastSaved">
    <vt:filetime>2014-11-05T00:00:00Z</vt:filetime>
  </property>
</Properties>
</file>